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8C6FE" w14:textId="77777777" w:rsidR="00A05610" w:rsidRPr="005007BA" w:rsidRDefault="00C4118C">
      <w:pPr>
        <w:spacing w:before="400" w:after="80"/>
        <w:jc w:val="center"/>
      </w:pPr>
      <w:r w:rsidRPr="005007BA">
        <w:rPr>
          <w:rFonts w:eastAsia="Times New Roman"/>
          <w:b/>
          <w:bCs/>
          <w:sz w:val="44"/>
          <w:szCs w:val="44"/>
        </w:rPr>
        <w:t>Beyond DSGE: Corporate Assets, the θ Equilibrium,</w:t>
      </w:r>
    </w:p>
    <w:p w14:paraId="1EA6BA98" w14:textId="77777777" w:rsidR="00A05610" w:rsidRPr="005007BA" w:rsidRDefault="00C4118C">
      <w:pPr>
        <w:spacing w:after="80"/>
        <w:jc w:val="center"/>
      </w:pPr>
      <w:r w:rsidRPr="005007BA">
        <w:rPr>
          <w:rFonts w:eastAsia="Times New Roman"/>
          <w:b/>
          <w:bCs/>
          <w:sz w:val="44"/>
          <w:szCs w:val="44"/>
        </w:rPr>
        <w:t>and the Revival of Structural Macroeconometric</w:t>
      </w:r>
    </w:p>
    <w:p w14:paraId="7D511528" w14:textId="77777777" w:rsidR="00A05610" w:rsidRPr="005007BA" w:rsidRDefault="00C4118C">
      <w:pPr>
        <w:spacing w:after="400"/>
        <w:jc w:val="center"/>
      </w:pPr>
      <w:r w:rsidRPr="005007BA">
        <w:rPr>
          <w:rFonts w:eastAsia="Times New Roman"/>
          <w:b/>
          <w:bCs/>
          <w:sz w:val="44"/>
          <w:szCs w:val="44"/>
        </w:rPr>
        <w:t>Simultaneous Equation Models</w:t>
      </w:r>
    </w:p>
    <w:p w14:paraId="2AA5ABB9" w14:textId="77777777" w:rsidR="00A05610" w:rsidRPr="005007BA" w:rsidRDefault="00C4118C">
      <w:pPr>
        <w:spacing w:after="40"/>
        <w:jc w:val="center"/>
      </w:pPr>
      <w:r w:rsidRPr="005007BA">
        <w:rPr>
          <w:rFonts w:eastAsia="Times New Roman"/>
          <w:b/>
          <w:bCs/>
          <w:sz w:val="32"/>
          <w:szCs w:val="32"/>
        </w:rPr>
        <w:t>Sung-Hee Jwa</w:t>
      </w:r>
    </w:p>
    <w:p w14:paraId="30B9AC5A" w14:textId="77777777" w:rsidR="00A05610" w:rsidRPr="005007BA" w:rsidRDefault="00C4118C">
      <w:pPr>
        <w:spacing w:after="40"/>
        <w:jc w:val="center"/>
      </w:pPr>
      <w:r w:rsidRPr="005007BA">
        <w:rPr>
          <w:rFonts w:eastAsia="Times New Roman"/>
          <w:sz w:val="28"/>
          <w:szCs w:val="28"/>
        </w:rPr>
        <w:t>Visiting Professor of Economics, Graduate School of International Studies</w:t>
      </w:r>
    </w:p>
    <w:p w14:paraId="5E15D1DC" w14:textId="77777777" w:rsidR="00A05610" w:rsidRPr="005007BA" w:rsidRDefault="00C4118C">
      <w:pPr>
        <w:spacing w:after="40"/>
        <w:jc w:val="center"/>
      </w:pPr>
      <w:r w:rsidRPr="005007BA">
        <w:rPr>
          <w:rFonts w:eastAsia="Times New Roman"/>
          <w:sz w:val="28"/>
          <w:szCs w:val="28"/>
        </w:rPr>
        <w:t>Ajou University, Suwon, South Korea</w:t>
      </w:r>
    </w:p>
    <w:p w14:paraId="0620C49C" w14:textId="77777777" w:rsidR="00A05610" w:rsidRPr="005007BA" w:rsidRDefault="00C4118C">
      <w:pPr>
        <w:spacing w:after="40"/>
        <w:jc w:val="center"/>
      </w:pPr>
      <w:r w:rsidRPr="005007BA">
        <w:rPr>
          <w:rFonts w:eastAsia="Times New Roman"/>
          <w:sz w:val="28"/>
          <w:szCs w:val="28"/>
        </w:rPr>
        <w:t>jwa4746@naver.com</w:t>
      </w:r>
    </w:p>
    <w:p w14:paraId="3223466D" w14:textId="77777777" w:rsidR="00A05610" w:rsidRPr="005007BA" w:rsidRDefault="00C4118C">
      <w:pPr>
        <w:spacing w:before="200" w:after="40"/>
        <w:jc w:val="center"/>
      </w:pPr>
      <w:r w:rsidRPr="005007BA">
        <w:rPr>
          <w:rFonts w:eastAsia="Times New Roman"/>
          <w:sz w:val="28"/>
          <w:szCs w:val="28"/>
        </w:rPr>
        <w:t>June 2026</w:t>
      </w:r>
    </w:p>
    <w:p w14:paraId="0E518E74" w14:textId="77777777" w:rsidR="00A05610" w:rsidRPr="005007BA" w:rsidRDefault="00A05610">
      <w:pPr>
        <w:spacing w:before="200" w:after="200"/>
      </w:pPr>
    </w:p>
    <w:p w14:paraId="69D2BD39" w14:textId="77777777" w:rsidR="00A05610" w:rsidRPr="005007BA" w:rsidRDefault="00C4118C">
      <w:pPr>
        <w:spacing w:before="120" w:after="80" w:line="380" w:lineRule="auto"/>
        <w:jc w:val="both"/>
      </w:pPr>
      <w:r w:rsidRPr="005007BA">
        <w:rPr>
          <w:rFonts w:eastAsia="Times New Roman"/>
          <w:b/>
          <w:bCs/>
          <w:sz w:val="30"/>
          <w:szCs w:val="30"/>
        </w:rPr>
        <w:t>Abstract</w:t>
      </w:r>
    </w:p>
    <w:p w14:paraId="54B21FAE" w14:textId="77777777" w:rsidR="00A05610" w:rsidRPr="005007BA" w:rsidRDefault="00C4118C">
      <w:pPr>
        <w:spacing w:after="120" w:line="380" w:lineRule="auto"/>
        <w:jc w:val="both"/>
      </w:pPr>
      <w:r w:rsidRPr="005007BA">
        <w:rPr>
          <w:rFonts w:eastAsia="Times New Roman"/>
          <w:sz w:val="30"/>
          <w:szCs w:val="30"/>
        </w:rPr>
        <w:t xml:space="preserve">The Dynamic Stochastic General Equilibrium (DSGE) model displaced the large-scale structural simultaneous equation models (SEMs) of the Klein-Goldberger tradition by responding to the Lucas Critique (1976): the demonstration that rational agents’ expectational adjustments destabilize behavioral parameters across policy regimes. This paper argues that the DSGE solution, while necessary, came at two unacknowledged costs: the abandonment of empirical capital measurement (replaced by calibration) and the extension of rational expectations to institutional behavior where it constitutes a category error. We propose a double resolution grounded in the General Theory of Economic Development (GTED). First, corporate assets (CA) — the total assets on consolidated corporate balance sheets, grounded in Fisher’s (1906) capitalization identity CA ≡ y/r and validated by the Corporate Governance Aggregation Mechanism (CGAM) — provide the </w:t>
      </w:r>
      <w:r w:rsidRPr="005007BA">
        <w:rPr>
          <w:rFonts w:eastAsia="Times New Roman"/>
          <w:sz w:val="30"/>
          <w:szCs w:val="30"/>
        </w:rPr>
        <w:lastRenderedPageBreak/>
        <w:t>theoretically coherent, empirically operational capital measure that structural production function estimation requires, resolving the Cambridge Capital Controversy that originally undermined aggregate K. Second, the institutional equilibrium parameter θ — indexing the balance between Economic Differentiation and Economic Egalitarianism — is the deep structural parameter Lucas’s invariance requirement was looking for, while the Policy-θ Transmission Mechanism shows how all policies ultimately operate through θ on different timescales. Together, CA and θ make possible the revival of structural SEMs: identified through institutional restrictions on θ, estimated from CA balance sheet data, and capable of capturing the long-run institutional dynamics that DSGE’s short-run price adjustment framework systematically misses. Technical details of the estimation strategy are developed in the Appendix.</w:t>
      </w:r>
    </w:p>
    <w:p w14:paraId="5076263C" w14:textId="77777777" w:rsidR="00A05610" w:rsidRPr="005007BA" w:rsidRDefault="00C4118C">
      <w:pPr>
        <w:spacing w:after="40" w:line="380" w:lineRule="auto"/>
        <w:jc w:val="both"/>
      </w:pPr>
      <w:r w:rsidRPr="005007BA">
        <w:rPr>
          <w:rFonts w:eastAsia="Times New Roman"/>
          <w:sz w:val="28"/>
          <w:szCs w:val="28"/>
        </w:rPr>
        <w:t>Keywords: DSGE; Lucas Critique; Corporate Assets; Simultaneous Equation Models; Rational Expectations; Institutional Parameter; Cambridge Capital Controversy; GTED; Structural Macroeconometrics</w:t>
      </w:r>
    </w:p>
    <w:p w14:paraId="5FA5A556" w14:textId="77777777" w:rsidR="00A05610" w:rsidRPr="005007BA" w:rsidRDefault="00C4118C">
      <w:pPr>
        <w:spacing w:after="200" w:line="380" w:lineRule="auto"/>
        <w:jc w:val="both"/>
      </w:pPr>
      <w:r w:rsidRPr="005007BA">
        <w:rPr>
          <w:rFonts w:eastAsia="Times New Roman"/>
          <w:sz w:val="28"/>
          <w:szCs w:val="28"/>
        </w:rPr>
        <w:t>JEL Codes: C30, C51, E10, E60, B41, O43, G30</w:t>
      </w:r>
    </w:p>
    <w:p w14:paraId="70C4B067" w14:textId="77777777" w:rsidR="00A05610" w:rsidRPr="005007BA" w:rsidRDefault="00C4118C">
      <w:pPr>
        <w:spacing w:before="480" w:after="200"/>
      </w:pPr>
      <w:r w:rsidRPr="005007BA">
        <w:rPr>
          <w:rFonts w:eastAsia="Times New Roman"/>
          <w:b/>
          <w:bCs/>
          <w:sz w:val="40"/>
          <w:szCs w:val="40"/>
        </w:rPr>
        <w:t>I.  Introduction</w:t>
      </w:r>
    </w:p>
    <w:p w14:paraId="44B0494B" w14:textId="77777777" w:rsidR="00A05610" w:rsidRPr="005007BA" w:rsidRDefault="00C4118C">
      <w:pPr>
        <w:spacing w:before="160" w:after="160" w:line="380" w:lineRule="auto"/>
        <w:jc w:val="both"/>
      </w:pPr>
      <w:r w:rsidRPr="005007BA">
        <w:rPr>
          <w:rFonts w:eastAsia="Times New Roman"/>
          <w:sz w:val="30"/>
          <w:szCs w:val="30"/>
        </w:rPr>
        <w:t xml:space="preserve">Two critiques, a generation apart, between them demolished the empirical programme of structural macroeconometrics. Joan Robinson (1953) showed that aggregate physical capital K cannot be measured without knowing the profit rate, which cannot be determined without measuring K — an inescapable circularity that made the capital stock in every estimated production function theoretically incoherent. Robert Lucas (1976) showed </w:t>
      </w:r>
      <w:r w:rsidRPr="005007BA">
        <w:rPr>
          <w:rFonts w:eastAsia="Times New Roman"/>
          <w:sz w:val="30"/>
          <w:szCs w:val="30"/>
        </w:rPr>
        <w:lastRenderedPageBreak/>
        <w:t>that the behavioral parameters of structural simultaneous equation models (SEMs) are not invariant to policy changes, because rational agents adjust their expectations when policy regimes shift. Together, these two critiques left macroeconometrics without a defensible capital measure and without a structural identification strategy robust to policy change.</w:t>
      </w:r>
    </w:p>
    <w:p w14:paraId="39F88F0C" w14:textId="77777777" w:rsidR="00A05610" w:rsidRPr="005007BA" w:rsidRDefault="00C4118C">
      <w:pPr>
        <w:spacing w:before="160" w:after="160" w:line="380" w:lineRule="auto"/>
        <w:jc w:val="both"/>
      </w:pPr>
      <w:r w:rsidRPr="005007BA">
        <w:rPr>
          <w:rFonts w:eastAsia="Times New Roman"/>
          <w:sz w:val="30"/>
          <w:szCs w:val="30"/>
        </w:rPr>
        <w:t>The profession responded very differently to each. Robinson’s critique was acknowledged and circumvented: Samuelson (1966) conceded that aggregate K is theoretically incoherent, and mainstream macroeconomics continued using K anyway. Lucas’s critique was taken seriously: within a decade, the large-scale SEMs that had guided policy at the Federal Reserve, the IMF, and the Congressional Budget Office were displaced by the Dynamic Stochastic General Equilibrium (DSGE) model, which built macroeconomics from explicit micro-foundations — optimizing representative agents with rational expectations — whose behavioral parameters were, in principle, policy-invariant deep structural parameters. By the mid-2000s, DSGE had become the standard tool of central bank policy analysis worldwide.</w:t>
      </w:r>
    </w:p>
    <w:p w14:paraId="0F94A02C" w14:textId="77777777" w:rsidR="00A05610" w:rsidRPr="005007BA" w:rsidRDefault="00C4118C">
      <w:pPr>
        <w:spacing w:before="160" w:after="160" w:line="380" w:lineRule="auto"/>
        <w:jc w:val="both"/>
      </w:pPr>
      <w:r w:rsidRPr="005007BA">
        <w:rPr>
          <w:rFonts w:eastAsia="Times New Roman"/>
          <w:sz w:val="30"/>
          <w:szCs w:val="30"/>
        </w:rPr>
        <w:t xml:space="preserve">But the DSGE solution to the Lucas problem simultaneously inherited and deepened the Cambridge problem. Unable to measure K coherently, DSGE calibrated capital stock parameters rather than estimating them — severing macroeconomics from the empirical anchor that structural SEM estimation had provided. And by extending rational expectations from macro price policy (its valid domain) to institutional behavior (where it constitutes a category error), DSGE built a framework that generates elegant predictions about representative-agent responses to price shocks but has no traction on </w:t>
      </w:r>
      <w:r w:rsidRPr="005007BA">
        <w:rPr>
          <w:rFonts w:eastAsia="Times New Roman"/>
          <w:sz w:val="30"/>
          <w:szCs w:val="30"/>
        </w:rPr>
        <w:lastRenderedPageBreak/>
        <w:t>the institutional dynamics that determine long-run economic trajectories. The consequences became visible in DSGE’s systematic failures: the 2008 financial crisis it did not predict, Japan’s three Lost Decades it could not explain, the Nordic paradox of expanding welfare states alongside rising market inequality it had no framework to address.</w:t>
      </w:r>
    </w:p>
    <w:p w14:paraId="53D15F2C" w14:textId="77777777" w:rsidR="00A05610" w:rsidRPr="005007BA" w:rsidRDefault="00C4118C">
      <w:pPr>
        <w:spacing w:before="160" w:after="160" w:line="380" w:lineRule="auto"/>
        <w:jc w:val="both"/>
      </w:pPr>
      <w:r w:rsidRPr="005007BA">
        <w:rPr>
          <w:rFonts w:eastAsia="Times New Roman"/>
          <w:sz w:val="30"/>
          <w:szCs w:val="30"/>
        </w:rPr>
        <w:t>This paper proposes a double resolution that makes possible the revival of structural SEMs on sounder theoretical foundations. The first element is corporate assets (CA): the total assets on the consolidated balance sheets of all corporations in a national economy, grounded in Fisher’s (1906) capitalization identity CA ≡ y/r and continuously validated by the Corporate Governance Aggregation Mechanism (CGAM). CA resolves Robinson’s circularity and provides the empirically measured capital concept that structural estimation requires. The second element is the institutional parameter θ of the General Theory of Economic Development (GTED; Jwa, 2017): an index of the balance between Economic Differentiation and Economic Egalitarianism that is the deep structural parameter Lucas’s invariance requirement was looking for far more robustly than DSGE’s calibrated preferences, while the Policy-θ Transmission Mechanism shows how all policies ultimately operate through θ on different timescales. Together, CA and θ restore what the two critiques destroyed: a theoretically coherent, empirically grounded structural system for macroeconomic analysis.</w:t>
      </w:r>
    </w:p>
    <w:p w14:paraId="223CF4C0" w14:textId="77777777" w:rsidR="00A05610" w:rsidRPr="005007BA" w:rsidRDefault="00C4118C">
      <w:pPr>
        <w:spacing w:before="160" w:after="160" w:line="380" w:lineRule="auto"/>
        <w:jc w:val="both"/>
      </w:pPr>
      <w:r w:rsidRPr="005007BA">
        <w:rPr>
          <w:rFonts w:eastAsia="Times New Roman"/>
          <w:sz w:val="30"/>
          <w:szCs w:val="30"/>
        </w:rPr>
        <w:t xml:space="preserve">The paper is organized as follows. Section II documents the rise of structural SEMs and their displacement by DSGE. Section III identifies the two costs of the DSGE solution. Section IV presents GTED’s double resolution: CA </w:t>
      </w:r>
      <w:r w:rsidRPr="005007BA">
        <w:rPr>
          <w:rFonts w:eastAsia="Times New Roman"/>
          <w:sz w:val="30"/>
          <w:szCs w:val="30"/>
        </w:rPr>
        <w:lastRenderedPageBreak/>
        <w:t>and θ. Section V develops the Policy-θ Transmission Mechanism. Section VI shows conceptually how CA and θ together make possible the revival of structural SEMs (technical details in Appendix A). Section VII illustrates with three empirical cases. Section VIII concludes with the new policy paradigm.</w:t>
      </w:r>
    </w:p>
    <w:p w14:paraId="17863475" w14:textId="77777777" w:rsidR="00A05610" w:rsidRPr="005007BA" w:rsidRDefault="00C4118C">
      <w:pPr>
        <w:spacing w:before="480" w:after="200"/>
      </w:pPr>
      <w:r w:rsidRPr="005007BA">
        <w:rPr>
          <w:rFonts w:eastAsia="Times New Roman"/>
          <w:b/>
          <w:bCs/>
          <w:sz w:val="40"/>
          <w:szCs w:val="40"/>
        </w:rPr>
        <w:t>II.  The Rise and Fall of Structural SEMs</w:t>
      </w:r>
    </w:p>
    <w:p w14:paraId="129723A7" w14:textId="77777777" w:rsidR="00A05610" w:rsidRPr="005007BA" w:rsidRDefault="00C4118C">
      <w:pPr>
        <w:spacing w:before="360" w:after="160"/>
      </w:pPr>
      <w:r w:rsidRPr="005007BA">
        <w:rPr>
          <w:rFonts w:eastAsia="Times New Roman"/>
          <w:b/>
          <w:bCs/>
          <w:sz w:val="32"/>
          <w:szCs w:val="32"/>
        </w:rPr>
        <w:t>II.1  The Klein-Goldberger Tradition</w:t>
      </w:r>
    </w:p>
    <w:p w14:paraId="4B3F8B85" w14:textId="77777777" w:rsidR="00A05610" w:rsidRPr="005007BA" w:rsidRDefault="00C4118C">
      <w:pPr>
        <w:spacing w:before="160" w:after="160" w:line="380" w:lineRule="auto"/>
        <w:jc w:val="both"/>
      </w:pPr>
      <w:r w:rsidRPr="005007BA">
        <w:rPr>
          <w:rFonts w:eastAsia="Times New Roman"/>
          <w:sz w:val="30"/>
          <w:szCs w:val="30"/>
        </w:rPr>
        <w:t>The structural SEM reached its apogee in the decade between the Brookings Model (Duesenberry et al., 1965) and the Fair Model (1974), building on the theoretical foundations of Tinbergen (1939), Haavelmo (1944), and Klein and Goldberger (1955). These models expressed the macro economy as a system of structural behavioral equations — consumption, investment, money demand, wages and prices — estimated simultaneously from time series data and solved as a complete system for policy simulation.</w:t>
      </w:r>
    </w:p>
    <w:p w14:paraId="5FD83C97" w14:textId="77777777" w:rsidR="00A05610" w:rsidRPr="005007BA" w:rsidRDefault="00C4118C">
      <w:pPr>
        <w:spacing w:before="160" w:after="160" w:line="380" w:lineRule="auto"/>
        <w:jc w:val="both"/>
      </w:pPr>
      <w:r w:rsidRPr="005007BA">
        <w:rPr>
          <w:rFonts w:eastAsia="Times New Roman"/>
          <w:sz w:val="30"/>
          <w:szCs w:val="30"/>
        </w:rPr>
        <w:t xml:space="preserve">The structural SEM approach rested on three pillars. Theoretical identification: each behavioral equation was derived from explicit economic theory, and identification was achieved through restrictions derived from that theory. Simultaneous estimation: full information methods captured the cross-equation correlations generated by common shocks and feedback loops. Empirical capital measurement: aggregate K, measured by the perpetual inventory method, entered investment and production equations as a directly estimated variable, linking financial aggregates to real productive capacity. The policy applications were immediate: the Brookings Model informed the Kennedy-Johnson tax cut of 1964; the Wharton </w:t>
      </w:r>
      <w:r w:rsidRPr="005007BA">
        <w:rPr>
          <w:rFonts w:eastAsia="Times New Roman"/>
          <w:sz w:val="30"/>
          <w:szCs w:val="30"/>
        </w:rPr>
        <w:lastRenderedPageBreak/>
        <w:t>Econometric Forecasting model became the commercial standard for business cycle forecasting.</w:t>
      </w:r>
    </w:p>
    <w:p w14:paraId="05994D71" w14:textId="77777777" w:rsidR="00A05610" w:rsidRPr="005007BA" w:rsidRDefault="00C4118C">
      <w:pPr>
        <w:spacing w:before="360" w:after="160"/>
      </w:pPr>
      <w:r w:rsidRPr="005007BA">
        <w:rPr>
          <w:rFonts w:eastAsia="Times New Roman"/>
          <w:b/>
          <w:bCs/>
          <w:sz w:val="32"/>
          <w:szCs w:val="32"/>
        </w:rPr>
        <w:t>II.2  The Lucas Critique and the SEM’s Demise</w:t>
      </w:r>
    </w:p>
    <w:p w14:paraId="653CA0B2" w14:textId="77777777" w:rsidR="00A05610" w:rsidRPr="005007BA" w:rsidRDefault="00C4118C">
      <w:pPr>
        <w:spacing w:before="160" w:after="160" w:line="380" w:lineRule="auto"/>
        <w:jc w:val="both"/>
      </w:pPr>
      <w:r w:rsidRPr="005007BA">
        <w:rPr>
          <w:rFonts w:eastAsia="Times New Roman"/>
          <w:sz w:val="30"/>
          <w:szCs w:val="30"/>
        </w:rPr>
        <w:t>Lucas (1976) demonstrated that the behavioral parameters of structural SEMs are not truly structural: they are equilibrium outcomes of agents’ optimal responses to a particular policy regime, and they shift when that regime changes. Under rational expectations, no reduced-form behavioral equation estimated from historical data under one policy regime can be used to predict behavior under a different regime. The Cowles Commission identification strategy was shown to be undermined by the very rationality assumption that neoclassical theory applied to agents’ optimization. The critique was not merely empirical but theoretical: it identified a logical impossibility in using historically estimated parameters for policy counterfactuals.</w:t>
      </w:r>
    </w:p>
    <w:p w14:paraId="61EDB2CA" w14:textId="77777777" w:rsidR="00A05610" w:rsidRPr="005007BA" w:rsidRDefault="00C4118C">
      <w:pPr>
        <w:spacing w:before="160" w:after="160" w:line="380" w:lineRule="auto"/>
        <w:jc w:val="both"/>
      </w:pPr>
      <w:r w:rsidRPr="005007BA">
        <w:rPr>
          <w:rFonts w:eastAsia="Times New Roman"/>
          <w:sz w:val="30"/>
          <w:szCs w:val="30"/>
        </w:rPr>
        <w:t>The immediate methodological response was Sims’s (1980) VAR — an atheoretical time series approach that abandoned structural identification altogether and estimated reduced-form dynamics directly. The VAR was explicitly positioned against the “incredible identifying restrictions” of structural SEMs (Sims, 1980, p. 1). By the mid-1980s, structural SEMs had been effectively retired from frontier macroeconomics, surviving only as forecasting tools in commercial and policy institutions.</w:t>
      </w:r>
    </w:p>
    <w:p w14:paraId="76F0DF53" w14:textId="77777777" w:rsidR="00A05610" w:rsidRPr="005007BA" w:rsidRDefault="00C4118C">
      <w:pPr>
        <w:spacing w:before="360" w:after="160"/>
      </w:pPr>
      <w:r w:rsidRPr="005007BA">
        <w:rPr>
          <w:rFonts w:eastAsia="Times New Roman"/>
          <w:b/>
          <w:bCs/>
          <w:sz w:val="32"/>
          <w:szCs w:val="32"/>
        </w:rPr>
        <w:t>II.3  DSGE as the Profession’s Answer</w:t>
      </w:r>
    </w:p>
    <w:p w14:paraId="11B45B3B" w14:textId="77777777" w:rsidR="00A05610" w:rsidRPr="005007BA" w:rsidRDefault="00C4118C">
      <w:pPr>
        <w:spacing w:before="160" w:after="160" w:line="380" w:lineRule="auto"/>
        <w:jc w:val="both"/>
      </w:pPr>
      <w:r w:rsidRPr="005007BA">
        <w:rPr>
          <w:rFonts w:eastAsia="Times New Roman"/>
          <w:sz w:val="30"/>
          <w:szCs w:val="30"/>
        </w:rPr>
        <w:t xml:space="preserve">DSGE restored structural policy analysis by building macroeconomic models from explicit micro-foundations: optimizing households and firms </w:t>
      </w:r>
      <w:r w:rsidRPr="005007BA">
        <w:rPr>
          <w:rFonts w:eastAsia="Times New Roman"/>
          <w:sz w:val="30"/>
          <w:szCs w:val="30"/>
        </w:rPr>
        <w:lastRenderedPageBreak/>
        <w:t>with rational expectations, whose behavioral parameters reflected deep preferences, technology, and endowments rather than policy-contingent equilibrium conditions. The canonical Real Business Cycle model (Kydland and Prescott, 1982) and its New Keynesian extensions (Smets and Wouters, 2003, 2007) became the standard tools of central bank policy analysis. By the mid-2000s, structural SEMs had been largely replaced by DSGE across the major policy institutions of the world economy.</w:t>
      </w:r>
    </w:p>
    <w:p w14:paraId="4F1CA573" w14:textId="77777777" w:rsidR="00A05610" w:rsidRPr="005007BA" w:rsidRDefault="00C4118C">
      <w:pPr>
        <w:spacing w:before="480" w:after="200"/>
      </w:pPr>
      <w:r w:rsidRPr="005007BA">
        <w:rPr>
          <w:rFonts w:eastAsia="Times New Roman"/>
          <w:b/>
          <w:bCs/>
          <w:sz w:val="40"/>
          <w:szCs w:val="40"/>
        </w:rPr>
        <w:t>III.  The Two Costs of DSGE</w:t>
      </w:r>
    </w:p>
    <w:p w14:paraId="1903FD67" w14:textId="77777777" w:rsidR="00A05610" w:rsidRPr="005007BA" w:rsidRDefault="00C4118C">
      <w:pPr>
        <w:spacing w:before="360" w:after="160"/>
      </w:pPr>
      <w:r w:rsidRPr="005007BA">
        <w:rPr>
          <w:rFonts w:eastAsia="Times New Roman"/>
          <w:b/>
          <w:bCs/>
          <w:sz w:val="32"/>
          <w:szCs w:val="32"/>
        </w:rPr>
        <w:t>III.1  Abandoning Capital Measurement</w:t>
      </w:r>
    </w:p>
    <w:p w14:paraId="491D1CFA" w14:textId="77777777" w:rsidR="00A05610" w:rsidRPr="005007BA" w:rsidRDefault="00C4118C">
      <w:pPr>
        <w:spacing w:before="160" w:after="160" w:line="380" w:lineRule="auto"/>
        <w:jc w:val="both"/>
      </w:pPr>
      <w:r w:rsidRPr="005007BA">
        <w:rPr>
          <w:rFonts w:eastAsia="Times New Roman"/>
          <w:sz w:val="30"/>
          <w:szCs w:val="30"/>
        </w:rPr>
        <w:t>The Cambridge Capital Controversy established that aggregate K cannot be measured without knowing the profit rate, which cannot be determined without measuring K (Robinson, 1953; Sraffa, 1960). Faced with this incoherence, DSGE chose elimination over resolution: the capital stock was no longer estimated from data but calibrated to match selected macroeconomic moments. The capital-output ratio, depreciation rate, and capital share became parameters chosen to make the model fit stylized facts, not measures of the economy’s productive capacity.</w:t>
      </w:r>
    </w:p>
    <w:p w14:paraId="7CED8460" w14:textId="77777777" w:rsidR="00A05610" w:rsidRPr="005007BA" w:rsidRDefault="00C4118C">
      <w:pPr>
        <w:spacing w:before="160" w:after="160" w:line="380" w:lineRule="auto"/>
        <w:jc w:val="both"/>
      </w:pPr>
      <w:r w:rsidRPr="005007BA">
        <w:rPr>
          <w:rFonts w:eastAsia="Times New Roman"/>
          <w:sz w:val="30"/>
          <w:szCs w:val="30"/>
        </w:rPr>
        <w:t xml:space="preserve">The cost is fundamental. A calibrated capital parameter is not a measure of anything; it is a number chosen to reproduce a stylized fact. DSGE therefore has nothing to say about the most important long-run macroeconomic question: what determines the aggregate productive capacity of the economy, and why does it grow rapidly under some institutional configurations and stagnate under others? By abandoning capital measurement, DSGE abandoned the structural empirical programme that </w:t>
      </w:r>
      <w:r w:rsidRPr="005007BA">
        <w:rPr>
          <w:rFonts w:eastAsia="Times New Roman"/>
          <w:sz w:val="30"/>
          <w:szCs w:val="30"/>
        </w:rPr>
        <w:lastRenderedPageBreak/>
        <w:t>SEMs had pursued — and could not replace it.</w:t>
      </w:r>
    </w:p>
    <w:p w14:paraId="3EFC43BF" w14:textId="77777777" w:rsidR="00A05610" w:rsidRPr="005007BA" w:rsidRDefault="00C4118C">
      <w:pPr>
        <w:spacing w:before="360" w:after="160"/>
      </w:pPr>
      <w:r w:rsidRPr="005007BA">
        <w:rPr>
          <w:rFonts w:eastAsia="Times New Roman"/>
          <w:b/>
          <w:bCs/>
          <w:sz w:val="32"/>
          <w:szCs w:val="32"/>
        </w:rPr>
        <w:t>III.2  Rational Expectations as Category Error</w:t>
      </w:r>
    </w:p>
    <w:p w14:paraId="6EBFCD60" w14:textId="77777777" w:rsidR="00A05610" w:rsidRPr="005007BA" w:rsidRDefault="00C4118C">
      <w:pPr>
        <w:spacing w:before="160" w:after="160" w:line="380" w:lineRule="auto"/>
        <w:jc w:val="both"/>
      </w:pPr>
      <w:r w:rsidRPr="005007BA">
        <w:rPr>
          <w:rFonts w:eastAsia="Times New Roman"/>
          <w:sz w:val="30"/>
          <w:szCs w:val="30"/>
        </w:rPr>
        <w:t>Rational expectations is a defensible approximation in the domain for which it was designed: macro price policy, where financial markets process information quickly and major participants devote substantial resources to macroeconomic forecasting. In this domain — interest rate expectations, exchange rate dynamics, bond market responses to fiscal announcements — the empirical evidence is broadly consistent with rational expectations. Lucas’s critique of SEMs was, in this domain, entirely correct.</w:t>
      </w:r>
    </w:p>
    <w:p w14:paraId="4F36D7A8" w14:textId="77777777" w:rsidR="00A05610" w:rsidRPr="005007BA" w:rsidRDefault="00C4118C">
      <w:pPr>
        <w:spacing w:before="160" w:after="160" w:line="380" w:lineRule="auto"/>
        <w:jc w:val="both"/>
      </w:pPr>
      <w:r w:rsidRPr="005007BA">
        <w:rPr>
          <w:rFonts w:eastAsia="Times New Roman"/>
          <w:sz w:val="30"/>
          <w:szCs w:val="30"/>
        </w:rPr>
        <w:t>But DSGE extended rational expectations to all domains of economic behavior, including institutional behavior that operates on entirely different timescales and through entirely different mechanisms. This is a category error. Institutions do not adjust like prices. Corporate governance structures, labor market arrangements, industrial policy architectures, and social policy frameworks are embedded in law, organizational routines, political coalitions, and social norms that change slowly — on the timescale of decades, not quarters — and through mechanisms that have nothing in common with the instantaneous clearing of financial markets. Workers do not instantly recalibrate their wage expectations when labor market legislation changes; corporations do not immediately restructure their governance systems when corporate law is amended; political coalitions do not spontaneously re-form around new institutional equilibria when redistribution policy shifts.</w:t>
      </w:r>
    </w:p>
    <w:p w14:paraId="05FC2492" w14:textId="77777777" w:rsidR="00AC68A4" w:rsidRPr="005007BA" w:rsidRDefault="00D05206">
      <w:pPr>
        <w:spacing w:before="160" w:after="160" w:line="380" w:lineRule="auto"/>
        <w:jc w:val="both"/>
      </w:pPr>
      <w:r w:rsidRPr="005007BA">
        <w:rPr>
          <w:rFonts w:eastAsia="Times New Roman"/>
          <w:sz w:val="30"/>
          <w:szCs w:val="30"/>
        </w:rPr>
        <w:t xml:space="preserve">Friedrich Hayek diagnosed this category error a generation before DSGE </w:t>
      </w:r>
      <w:r w:rsidRPr="005007BA">
        <w:rPr>
          <w:rFonts w:eastAsia="Times New Roman"/>
          <w:sz w:val="30"/>
          <w:szCs w:val="30"/>
        </w:rPr>
        <w:lastRenderedPageBreak/>
        <w:t xml:space="preserve">embodied it. His 1974 Nobel lecture, "The Pretence of Knowledge," argued that complex, self-organizing systems — markets and economies among them — permit only </w:t>
      </w:r>
      <w:r w:rsidRPr="005007BA">
        <w:rPr>
          <w:rFonts w:eastAsia="Times New Roman"/>
          <w:i/>
          <w:iCs/>
          <w:sz w:val="30"/>
          <w:szCs w:val="30"/>
        </w:rPr>
        <w:t>pattern prediction</w:t>
      </w:r>
      <w:r w:rsidRPr="005007BA">
        <w:rPr>
          <w:rFonts w:eastAsia="Times New Roman"/>
          <w:sz w:val="30"/>
          <w:szCs w:val="30"/>
        </w:rPr>
        <w:t xml:space="preserve"> — the qualitative, directional consequence of a sustained configuration of forces — and not the precise point prediction that the physical sciences achieve and that mainstream macroeconomics has persistently claimed for itself. Hayek’s target was the Klein-Goldberger-tradition SEMs this paper discussed in Section II; DSGE inherited the identical overreach in different clothing, replacing large-scale reduced-form equations with representative-agent optimization while retaining the pretence that the resulting model could deliver quarterly point forecasts of GDP, inflation, and employment. GTED does not repeat this error. Its central empirical claims, developed in Sections IV through VII, are pattern predictions in Hayek’s sense: sustained high-θ configurations generate co-prosperity, sustained low-θ configurations generate polarized stagnation — directional, institutional claims about which regime an economy occupies, not point forecasts for a specific quarter.</w:t>
      </w:r>
    </w:p>
    <w:p w14:paraId="3513B507" w14:textId="77777777" w:rsidR="00A05610" w:rsidRPr="005007BA" w:rsidRDefault="00C4118C">
      <w:pPr>
        <w:spacing w:before="160" w:after="160" w:line="380" w:lineRule="auto"/>
        <w:jc w:val="both"/>
      </w:pPr>
      <w:r w:rsidRPr="005007BA">
        <w:rPr>
          <w:rFonts w:eastAsia="Times New Roman"/>
          <w:sz w:val="30"/>
          <w:szCs w:val="30"/>
        </w:rPr>
        <w:t xml:space="preserve">The empirical consequences of this category error are visible in DSGE’s systematic failures at the institutional level. Japan’s three Lost Decades cannot be explained as a sequence of adverse shocks to a representative agent reverting to a stable equilibrium; they are the consequence of a sustained institutional regime change in which the corporate economy’s performance-reward linkage was progressively weakened over decades. The Nordic paradox of expanding welfare states alongside rising market income inequality cannot be explained by preference or technology shifts; it is the predictable consequence of institutional EE accumulation </w:t>
      </w:r>
      <w:r w:rsidRPr="005007BA">
        <w:rPr>
          <w:rFonts w:eastAsia="Times New Roman"/>
          <w:sz w:val="30"/>
          <w:szCs w:val="30"/>
        </w:rPr>
        <w:lastRenderedPageBreak/>
        <w:t>suppressing the corporate growth mechanism over fifty years. Abenomics’ failure to restore Japanese co-prosperity despite full-scale monetary and fiscal stimulus cannot be explained by insufficient aggregate demand; it reflects the persistence of institutional arrangements that rational expectations assumed would adjust costlessly to new price signals but in practice did not. These are all institutional phenomena that DSGE’s rational expectations micro-foundation is structurally incapable of capturing.</w:t>
      </w:r>
    </w:p>
    <w:p w14:paraId="5014AC07" w14:textId="77777777" w:rsidR="00A05610" w:rsidRPr="005007BA" w:rsidRDefault="00C4118C">
      <w:pPr>
        <w:spacing w:before="480" w:after="200"/>
      </w:pPr>
      <w:r w:rsidRPr="005007BA">
        <w:rPr>
          <w:rFonts w:eastAsia="Times New Roman"/>
          <w:b/>
          <w:bCs/>
          <w:sz w:val="40"/>
          <w:szCs w:val="40"/>
        </w:rPr>
        <w:t>IV.  GTED’s Double Resolution: Corporate Assets and the θ Equilibrium</w:t>
      </w:r>
    </w:p>
    <w:p w14:paraId="44186441" w14:textId="77777777" w:rsidR="00A05610" w:rsidRPr="005007BA" w:rsidRDefault="00C4118C">
      <w:pPr>
        <w:spacing w:before="360" w:after="160"/>
      </w:pPr>
      <w:r w:rsidRPr="005007BA">
        <w:rPr>
          <w:rFonts w:eastAsia="Times New Roman"/>
          <w:b/>
          <w:bCs/>
          <w:sz w:val="32"/>
          <w:szCs w:val="32"/>
        </w:rPr>
        <w:t>IV.1  Corporate Assets: Coherent Capital for Structural Estimation</w:t>
      </w:r>
    </w:p>
    <w:p w14:paraId="76CAF80A" w14:textId="77777777" w:rsidR="00A05610" w:rsidRPr="005007BA" w:rsidRDefault="00C4118C">
      <w:pPr>
        <w:spacing w:before="160" w:after="160" w:line="380" w:lineRule="auto"/>
        <w:jc w:val="both"/>
      </w:pPr>
      <w:r w:rsidRPr="005007BA">
        <w:rPr>
          <w:rFonts w:eastAsia="Times New Roman"/>
          <w:sz w:val="30"/>
          <w:szCs w:val="30"/>
        </w:rPr>
        <w:t>The General Theory of Economic Development (GTED; Jwa, 2017) proposes corporate assets (CA) as the theoretically coherent and empirically operational replacement for K. CA is grounded in Fisher’s (1906) fundamental capitalization identity:</w:t>
      </w:r>
    </w:p>
    <w:p w14:paraId="639A7D15" w14:textId="77777777" w:rsidR="00A05610" w:rsidRPr="005007BA" w:rsidRDefault="00C4118C">
      <w:pPr>
        <w:spacing w:before="160" w:after="160"/>
        <w:jc w:val="center"/>
      </w:pPr>
      <w:r w:rsidRPr="005007BA">
        <w:rPr>
          <w:rFonts w:eastAsia="Times New Roman"/>
          <w:sz w:val="28"/>
          <w:szCs w:val="28"/>
        </w:rPr>
        <w:t>CA  ≡  y / r        (1)</w:t>
      </w:r>
    </w:p>
    <w:p w14:paraId="38BD8CBC" w14:textId="77777777" w:rsidR="00A05610" w:rsidRPr="005007BA" w:rsidRDefault="00C4118C">
      <w:pPr>
        <w:spacing w:before="160" w:after="160" w:line="380" w:lineRule="auto"/>
        <w:jc w:val="both"/>
      </w:pPr>
      <w:r w:rsidRPr="005007BA">
        <w:rPr>
          <w:rFonts w:eastAsia="Times New Roman"/>
          <w:sz w:val="30"/>
          <w:szCs w:val="30"/>
        </w:rPr>
        <w:t xml:space="preserve">where y is the income stream generated by the corporate sector and r is the return on corporate assets (ROA). This identity states that the value of any asset is the present value of the income it generates. Applied to the corporate balance sheet, total assets CA equals corporate income y divided by the return r = y/CA. There is no circularity: CA is measured from balance sheets before r is known; r is then determined as y/CA from observable income and asset data. Robinson’s circularity disappears completely — not by assumption but because CA is measured in monetary units through the </w:t>
      </w:r>
      <w:r w:rsidRPr="005007BA">
        <w:rPr>
          <w:rFonts w:eastAsia="Times New Roman"/>
          <w:sz w:val="30"/>
          <w:szCs w:val="30"/>
        </w:rPr>
        <w:lastRenderedPageBreak/>
        <w:t>corporate governance system’s continuous disciplined valuation, not through quantity aggregation that requires knowing r first.</w:t>
      </w:r>
    </w:p>
    <w:p w14:paraId="5ACCD6AC" w14:textId="77777777" w:rsidR="00A05610" w:rsidRPr="005007BA" w:rsidRDefault="00C4118C">
      <w:pPr>
        <w:spacing w:before="160" w:after="160" w:line="380" w:lineRule="auto"/>
        <w:jc w:val="both"/>
      </w:pPr>
      <w:r w:rsidRPr="005007BA">
        <w:rPr>
          <w:rFonts w:eastAsia="Times New Roman"/>
          <w:sz w:val="30"/>
          <w:szCs w:val="30"/>
        </w:rPr>
        <w:t>What ensures that balance sheet totals reflect current productive capacity rather than historical cost? The Corporate Governance Aggregation Mechanism (CGAM): the disciplinary system comprising management metering (fiduciary duties, market for corporate control), market validation (equity prices, Tobin q, merger activity), and audit verification (IAS 36 impairment testing, external audit). CGAM continuously revalues CA toward economic reality, removing unproductive assets as soon as they cease to generate probable future economic benefit — precisely the governance discipline that K’s perpetual inventory method has never had.</w:t>
      </w:r>
    </w:p>
    <w:p w14:paraId="7F545E2C" w14:textId="77777777" w:rsidR="00A05610" w:rsidRPr="005007BA" w:rsidRDefault="00C4118C">
      <w:pPr>
        <w:spacing w:before="160" w:after="160" w:line="380" w:lineRule="auto"/>
        <w:jc w:val="both"/>
      </w:pPr>
      <w:r w:rsidRPr="005007BA">
        <w:rPr>
          <w:rFonts w:eastAsia="Times New Roman"/>
          <w:sz w:val="30"/>
          <w:szCs w:val="30"/>
        </w:rPr>
        <w:t>From the Fisher identity, the production function y = CA</w:t>
      </w:r>
      <w:r w:rsidRPr="005007BA">
        <w:rPr>
          <w:rFonts w:eastAsia="Times New Roman"/>
          <w:sz w:val="30"/>
          <w:szCs w:val="30"/>
          <w:vertAlign w:val="superscript"/>
        </w:rPr>
        <w:t>α</w:t>
      </w:r>
      <w:r w:rsidRPr="005007BA">
        <w:rPr>
          <w:rFonts w:eastAsia="Times New Roman"/>
          <w:sz w:val="30"/>
          <w:szCs w:val="30"/>
        </w:rPr>
        <w:t xml:space="preserve"> follows directly, where α = ROA is a directly observable corporate performance metric rather than a calibrated parameter. The CA Decomposition Identity CA = K·A</w:t>
      </w:r>
      <w:r w:rsidRPr="005007BA">
        <w:rPr>
          <w:rFonts w:eastAsia="Times New Roman"/>
          <w:sz w:val="30"/>
          <w:szCs w:val="30"/>
          <w:vertAlign w:val="superscript"/>
        </w:rPr>
        <w:t>λ</w:t>
      </w:r>
      <w:r w:rsidRPr="005007BA">
        <w:rPr>
          <w:rFonts w:eastAsia="Times New Roman"/>
          <w:sz w:val="30"/>
          <w:szCs w:val="30"/>
        </w:rPr>
        <w:t>, derived from the balance sheet structure, connects this production function to the growth economics tradition: substituting, y = K</w:t>
      </w:r>
      <w:r w:rsidRPr="005007BA">
        <w:rPr>
          <w:rFonts w:eastAsia="Times New Roman"/>
          <w:sz w:val="30"/>
          <w:szCs w:val="30"/>
          <w:vertAlign w:val="superscript"/>
        </w:rPr>
        <w:t>α</w:t>
      </w:r>
      <w:r w:rsidRPr="005007BA">
        <w:rPr>
          <w:rFonts w:eastAsia="Times New Roman"/>
          <w:sz w:val="30"/>
          <w:szCs w:val="30"/>
        </w:rPr>
        <w:t>·Aαλ, which subsumes Romer (1990) as the special case when αλ = 1−α, while grounding both K and A in observable balance sheet data. The key point for structural estimation: every parameter in the GTED production function can be estimated, not calibrated.</w:t>
      </w:r>
    </w:p>
    <w:p w14:paraId="62ADA815" w14:textId="77777777" w:rsidR="00A05610" w:rsidRPr="005007BA" w:rsidRDefault="00C4118C">
      <w:pPr>
        <w:spacing w:before="360" w:after="160"/>
      </w:pPr>
      <w:r w:rsidRPr="005007BA">
        <w:rPr>
          <w:rFonts w:eastAsia="Times New Roman"/>
          <w:b/>
          <w:bCs/>
          <w:sz w:val="32"/>
          <w:szCs w:val="32"/>
        </w:rPr>
        <w:t>IV.2  The θ Equilibrium: A Deeper Structural Parameter</w:t>
      </w:r>
    </w:p>
    <w:p w14:paraId="3B160F43" w14:textId="77777777" w:rsidR="00A05610" w:rsidRPr="005007BA" w:rsidRDefault="00C4118C">
      <w:pPr>
        <w:spacing w:before="160" w:after="160" w:line="380" w:lineRule="auto"/>
        <w:jc w:val="both"/>
      </w:pPr>
      <w:r w:rsidRPr="005007BA">
        <w:rPr>
          <w:rFonts w:eastAsia="Times New Roman"/>
          <w:sz w:val="30"/>
          <w:szCs w:val="30"/>
        </w:rPr>
        <w:t xml:space="preserve">GTED identifies the institutional parameter θ as the fundamental determinant of long-run economic trajectories. θ indexes the balance between Economic Differentiation (ED: rewarding performance </w:t>
      </w:r>
      <w:r w:rsidRPr="005007BA">
        <w:rPr>
          <w:rFonts w:eastAsia="Times New Roman"/>
          <w:sz w:val="30"/>
          <w:szCs w:val="30"/>
        </w:rPr>
        <w:lastRenderedPageBreak/>
        <w:t>differentially through markets, corporations, and government) and Economic Egalitarianism (EE: disregarding performance for equal opportunity and outcomes). The GTED dynamic system is:</w:t>
      </w:r>
    </w:p>
    <w:p w14:paraId="58544AD1" w14:textId="77777777" w:rsidR="00A05610" w:rsidRPr="005007BA" w:rsidRDefault="00C4118C">
      <w:pPr>
        <w:spacing w:before="160" w:after="160"/>
        <w:jc w:val="center"/>
      </w:pPr>
      <w:r w:rsidRPr="005007BA">
        <w:rPr>
          <w:rFonts w:eastAsia="Times New Roman"/>
          <w:sz w:val="28"/>
          <w:szCs w:val="28"/>
        </w:rPr>
        <w:t>CA = k · A</w:t>
      </w:r>
      <w:r w:rsidRPr="005007BA">
        <w:rPr>
          <w:rFonts w:eastAsia="Times New Roman"/>
          <w:sz w:val="28"/>
          <w:szCs w:val="28"/>
          <w:vertAlign w:val="superscript"/>
        </w:rPr>
        <w:t>γ</w:t>
      </w:r>
      <w:r w:rsidRPr="005007BA">
        <w:rPr>
          <w:rFonts w:eastAsia="Times New Roman"/>
          <w:sz w:val="28"/>
          <w:szCs w:val="28"/>
        </w:rPr>
        <w:t>,        γ ∈ (0,1)</w:t>
      </w:r>
    </w:p>
    <w:p w14:paraId="34C706B9" w14:textId="77777777" w:rsidR="00A05610" w:rsidRPr="005007BA" w:rsidRDefault="00C4118C">
      <w:pPr>
        <w:spacing w:before="160" w:after="160"/>
        <w:jc w:val="center"/>
      </w:pPr>
      <w:r w:rsidRPr="005007BA">
        <w:rPr>
          <w:rFonts w:eastAsia="Times New Roman"/>
          <w:sz w:val="28"/>
          <w:szCs w:val="28"/>
        </w:rPr>
        <w:t>y = CA</w:t>
      </w:r>
      <w:r w:rsidRPr="005007BA">
        <w:rPr>
          <w:rFonts w:eastAsia="Times New Roman"/>
          <w:sz w:val="28"/>
          <w:szCs w:val="28"/>
          <w:vertAlign w:val="superscript"/>
        </w:rPr>
        <w:t>α</w:t>
      </w:r>
      <w:r w:rsidRPr="005007BA">
        <w:rPr>
          <w:rFonts w:eastAsia="Times New Roman"/>
          <w:sz w:val="28"/>
          <w:szCs w:val="28"/>
        </w:rPr>
        <w:t>,              α ∈ (0,1)</w:t>
      </w:r>
    </w:p>
    <w:p w14:paraId="5259B608" w14:textId="77777777" w:rsidR="00A05610" w:rsidRPr="005007BA" w:rsidRDefault="00C4118C">
      <w:pPr>
        <w:spacing w:before="160" w:after="160"/>
        <w:jc w:val="center"/>
      </w:pPr>
      <w:r w:rsidRPr="005007BA">
        <w:rPr>
          <w:rFonts w:eastAsia="Times New Roman"/>
          <w:sz w:val="28"/>
          <w:szCs w:val="28"/>
        </w:rPr>
        <w:t>dA/dt = θ · y − A</w:t>
      </w:r>
    </w:p>
    <w:p w14:paraId="56A92E0B" w14:textId="77777777" w:rsidR="00A05610" w:rsidRPr="005007BA" w:rsidRDefault="00C4118C">
      <w:pPr>
        <w:spacing w:before="160" w:after="160"/>
        <w:jc w:val="center"/>
      </w:pPr>
      <w:r w:rsidRPr="005007BA">
        <w:rPr>
          <w:rFonts w:eastAsia="Times New Roman"/>
          <w:sz w:val="28"/>
          <w:szCs w:val="28"/>
        </w:rPr>
        <w:t>Mgini = g(CA, giniratio)</w:t>
      </w:r>
    </w:p>
    <w:p w14:paraId="33582D5F" w14:textId="77777777" w:rsidR="00A05610" w:rsidRPr="005007BA" w:rsidRDefault="00C4118C">
      <w:pPr>
        <w:spacing w:before="160" w:after="160" w:line="380" w:lineRule="auto"/>
        <w:jc w:val="both"/>
      </w:pPr>
      <w:r w:rsidRPr="005007BA">
        <w:rPr>
          <w:rFonts w:eastAsia="Times New Roman"/>
          <w:sz w:val="30"/>
          <w:szCs w:val="30"/>
        </w:rPr>
        <w:t>Under high θ (ED dominance): organizational technology A accumulates, CA deepens, output grows, and market income inequality eventually falls as corporate-led growth generates broadly shared productivity gains — co-prosperity. Under low θ (EE dominance): A decays, CA stagnates, output slows, and market inequality worsens despite redistribution — polarized stagnation. The system has two stable equilibria, not one: a property that rules out the representative-agent unique-equilibrium assumption of DSGE and explains why Japan’s stagnation and Korea’s co-prosperity are both stable outcomes, not temporary deviations from a common equilibrium.</w:t>
      </w:r>
    </w:p>
    <w:p w14:paraId="58D15307" w14:textId="77777777" w:rsidR="00A05610" w:rsidRPr="005007BA" w:rsidRDefault="00C4118C">
      <w:pPr>
        <w:spacing w:before="160" w:after="160" w:line="380" w:lineRule="auto"/>
        <w:jc w:val="both"/>
      </w:pPr>
      <w:r w:rsidRPr="005007BA">
        <w:rPr>
          <w:rFonts w:eastAsia="Times New Roman"/>
          <w:sz w:val="30"/>
          <w:szCs w:val="30"/>
        </w:rPr>
        <w:t xml:space="preserve">Lucas demanded policy-invariant deep structural parameters. DSGE sought these in preferences (β, σ) and technology (α, δ). But as Sargent (2008) acknowledged, these parameters are themselves potentially endogenous: β may shift with persistently low interest rates; α changes with the relative price of capital goods. θ is a genuinely deeper structural parameter on three grounds. First, timescale: θ changes on the timescale of decades, not quarters. Second, path dependence: institutional configurations evolve through political coalitions, legal precedents, and organizational routines that exhibit strong hysteresis. Third, empirical identifiability: θ is </w:t>
      </w:r>
      <w:r w:rsidRPr="005007BA">
        <w:rPr>
          <w:rFonts w:eastAsia="Times New Roman"/>
          <w:sz w:val="30"/>
          <w:szCs w:val="30"/>
        </w:rPr>
        <w:lastRenderedPageBreak/>
        <w:t>approximated by observable indicators — the giniratio (= market income Gini / disposable income Gini, measuring EE redistribution intensity) and CA/GDP growth (measuring ED corporate development intensity) — allowing structural estimation rather than calibration. This distinguishes θ from DSGE’s calibrated preferences, but it is worth separating two things the Cambridge Capital Controversy and the Lucas Critique attacked independently: CA (Section IV.1) resolves the Cambridge measurement problem by construction; θ’s timescale, path dependence, and empirical identifiability narrow — without fully eliminating — the Lucas invariance concern, since even DSGE’s own β and α have been shown to shift across policy regimes (Sargent, 2008). θ’s claim to depth rests not on abstraction but on institutional persistence, which is a stronger empirical anchor than assumed constancy, though not a proof of complete policy-invariance.</w:t>
      </w:r>
    </w:p>
    <w:p w14:paraId="716B1240" w14:textId="77777777" w:rsidR="00AC68A4" w:rsidRPr="005007BA" w:rsidRDefault="00D05206">
      <w:pPr>
        <w:spacing w:before="160" w:after="160" w:line="380" w:lineRule="auto"/>
        <w:jc w:val="both"/>
      </w:pPr>
      <w:r w:rsidRPr="005007BA">
        <w:rPr>
          <w:rFonts w:eastAsia="Times New Roman"/>
          <w:sz w:val="30"/>
          <w:szCs w:val="30"/>
        </w:rPr>
        <w:t xml:space="preserve">A fourth ground, not yet developed in the GTED literature, strengthens this claim further. Jwa (2017) "Constitution of the Complex Economy" (Chapter 3, Figure 3.1) lays out a six-layer nested institutional model — individuals and organizations at the innermost, most endogenous layer; formal institutions, informal institutions, and political leadership as successively outer, more exogenous layers; the physical environment outermost — with the framework’s own stated rule that inner variables are endogenous and outer variables exogenous, relative to the level of analysis. On this view, the preferences and technology parameters DSGE treats as primitive are not primitive at all: they are formed within the surrounding institutional layers, not prior to them. θ indexes precisely those surrounding layers. This reframes the claim in this section from a comparison of two independently </w:t>
      </w:r>
      <w:r w:rsidRPr="005007BA">
        <w:rPr>
          <w:rFonts w:eastAsia="Times New Roman"/>
          <w:sz w:val="30"/>
          <w:szCs w:val="30"/>
        </w:rPr>
        <w:lastRenderedPageBreak/>
        <w:t>existing parameters — θ versus DSGE’s preferences and technology — to a nesting relationship: θ is the deep parameter Lucas’s invariance requirement was looking for, and DSGE’s preferences and technology are its downstream, institution-conditioned expressions. This does not resolve the Lucas Critique for every possible application, but it grounds θ’s claim to depth in the architecture of GTED itself rather than in an analogy to DSGE’s own contested parameters.</w:t>
      </w:r>
    </w:p>
    <w:p w14:paraId="33A811DE" w14:textId="77777777" w:rsidR="00A05610" w:rsidRPr="005007BA" w:rsidRDefault="00C4118C">
      <w:pPr>
        <w:spacing w:before="480" w:after="200"/>
      </w:pPr>
      <w:r w:rsidRPr="005007BA">
        <w:rPr>
          <w:rFonts w:eastAsia="Times New Roman"/>
          <w:b/>
          <w:bCs/>
          <w:sz w:val="40"/>
          <w:szCs w:val="40"/>
        </w:rPr>
        <w:t>V.  The Policy-θ Transmission Mechanism</w:t>
      </w:r>
    </w:p>
    <w:p w14:paraId="51C24BC9" w14:textId="77777777" w:rsidR="00A05610" w:rsidRPr="005007BA" w:rsidRDefault="00C4118C">
      <w:pPr>
        <w:spacing w:before="160" w:after="160" w:line="380" w:lineRule="auto"/>
        <w:jc w:val="both"/>
      </w:pPr>
      <w:r w:rsidRPr="005007BA">
        <w:rPr>
          <w:rFonts w:eastAsia="Times New Roman"/>
          <w:sz w:val="30"/>
          <w:szCs w:val="30"/>
        </w:rPr>
        <w:t>The Policy-θ Transmission Mechanism is the conceptual framework through which GTED integrates the Lucas Critique’s valid insights about short-run macro price policy with the institutional dynamics that DSGE cannot capture. Its central proposition:</w:t>
      </w:r>
    </w:p>
    <w:p w14:paraId="25E24B91" w14:textId="77777777" w:rsidR="00A05610" w:rsidRPr="005007BA" w:rsidRDefault="00C4118C">
      <w:pPr>
        <w:spacing w:before="200" w:after="200" w:line="380" w:lineRule="auto"/>
        <w:ind w:left="720" w:right="720"/>
        <w:jc w:val="both"/>
      </w:pPr>
      <w:r w:rsidRPr="005007BA">
        <w:rPr>
          <w:rFonts w:eastAsia="Times New Roman"/>
          <w:sz w:val="28"/>
          <w:szCs w:val="28"/>
        </w:rPr>
        <w:t>“All economic policies — macro price policies and micro institutional policies alike — ultimately operate through θ. The distinction between policy types is not categorical but temporal: they work through θ via different channels and on different timescales.”</w:t>
      </w:r>
    </w:p>
    <w:p w14:paraId="7579C294" w14:textId="77777777" w:rsidR="00A05610" w:rsidRPr="005007BA" w:rsidRDefault="00C4118C">
      <w:pPr>
        <w:spacing w:before="360" w:after="160"/>
      </w:pPr>
      <w:r w:rsidRPr="005007BA">
        <w:rPr>
          <w:rFonts w:eastAsia="Times New Roman"/>
          <w:b/>
          <w:bCs/>
          <w:sz w:val="32"/>
          <w:szCs w:val="32"/>
        </w:rPr>
        <w:t>V.1  Layer 1: Macro Price Policy — DSGE’s Domain</w:t>
      </w:r>
    </w:p>
    <w:p w14:paraId="5B2A9DDA" w14:textId="77777777" w:rsidR="00A05610" w:rsidRPr="005007BA" w:rsidRDefault="00C4118C">
      <w:pPr>
        <w:spacing w:before="160" w:after="160" w:line="380" w:lineRule="auto"/>
        <w:jc w:val="both"/>
      </w:pPr>
      <w:r w:rsidRPr="005007BA">
        <w:rPr>
          <w:rFonts w:eastAsia="Times New Roman"/>
          <w:sz w:val="30"/>
          <w:szCs w:val="30"/>
        </w:rPr>
        <w:t xml:space="preserve">Macro price policies — interest rates, fiscal multipliers, exchange rates, tax rates — change the price signals that rational agents respond to immediately and systematically. DSGE correctly models this short-run price adjustment mechanism. In GTED terms, macro price policies in the short run leave θ approximately unchanged: monetary easing does not immediately alter the ED/EE institutional balance; a fiscal stimulus does not instantly transform the incentive structures governing corporate asset accumulation. This is </w:t>
      </w:r>
      <w:r w:rsidRPr="005007BA">
        <w:rPr>
          <w:rFonts w:eastAsia="Times New Roman"/>
          <w:sz w:val="30"/>
          <w:szCs w:val="30"/>
        </w:rPr>
        <w:lastRenderedPageBreak/>
        <w:t>DSGE’s domain of validity, and the Lucas Critique applies fully within it.</w:t>
      </w:r>
    </w:p>
    <w:p w14:paraId="0CF6983A" w14:textId="77777777" w:rsidR="00A05610" w:rsidRPr="005007BA" w:rsidRDefault="00C4118C">
      <w:pPr>
        <w:spacing w:before="360" w:after="160"/>
      </w:pPr>
      <w:r w:rsidRPr="005007BA">
        <w:rPr>
          <w:rFonts w:eastAsia="Times New Roman"/>
          <w:b/>
          <w:bCs/>
          <w:sz w:val="32"/>
          <w:szCs w:val="32"/>
        </w:rPr>
        <w:t>V.2  Layer 2: Policy Accumulation — The GTED Domain</w:t>
      </w:r>
    </w:p>
    <w:p w14:paraId="6B3AAF5A" w14:textId="77777777" w:rsidR="00A05610" w:rsidRPr="005007BA" w:rsidRDefault="00C4118C">
      <w:pPr>
        <w:spacing w:before="160" w:after="160" w:line="380" w:lineRule="auto"/>
        <w:jc w:val="both"/>
      </w:pPr>
      <w:r w:rsidRPr="005007BA">
        <w:rPr>
          <w:rFonts w:eastAsia="Times New Roman"/>
          <w:sz w:val="30"/>
          <w:szCs w:val="30"/>
        </w:rPr>
        <w:t>In the medium to long run, however, both macro price policies and micro institutional policies affect θ through three sequential stages. First, the expectational channel: sustained policies generate systematic changes in expectations about the institutional environment — a decade of guaranteed low interest rates changes corporate expectations about productive investment versus financial engineering; a decade of rising social expenditure changes workers’ expectations about the relationship between performance and income security. Second, the incentive structure channel: as expectations shift, the incentive structure facing corporate managers and workers changes — CEO metering of performance becomes less effective when income security is decoupled from performance outcomes. Third, θ accumulation: the cumulative effect of expectational and incentive shifts gradually changes θ, the institutional parameter governing the ED/EE balance. This is why institutional shifts develop over decades, not quarters: the Nordic EE trap accumulated over fifty years; Japan’s institutional capture took thirty years to produce measurable CA elasticity collapse.</w:t>
      </w:r>
    </w:p>
    <w:p w14:paraId="4565F812" w14:textId="77777777" w:rsidR="00A05610" w:rsidRPr="005007BA" w:rsidRDefault="00C4118C">
      <w:pPr>
        <w:spacing w:before="360" w:after="160"/>
      </w:pPr>
      <w:r w:rsidRPr="005007BA">
        <w:rPr>
          <w:rFonts w:eastAsia="Times New Roman"/>
          <w:b/>
          <w:bCs/>
          <w:sz w:val="32"/>
          <w:szCs w:val="32"/>
        </w:rPr>
        <w:t>V.3  The Macro-Micro Policy Distinction</w:t>
      </w:r>
    </w:p>
    <w:p w14:paraId="73EAA56D" w14:textId="77777777" w:rsidR="00A05610" w:rsidRPr="005007BA" w:rsidRDefault="00C4118C">
      <w:pPr>
        <w:spacing w:before="160" w:after="160" w:line="380" w:lineRule="auto"/>
        <w:jc w:val="both"/>
      </w:pPr>
      <w:r w:rsidRPr="005007BA">
        <w:rPr>
          <w:rFonts w:eastAsia="Times New Roman"/>
          <w:sz w:val="30"/>
          <w:szCs w:val="30"/>
        </w:rPr>
        <w:t xml:space="preserve">The distinction between macro price policy and micro institutional policy is one of degree and primary transmission channel, not of category. Both types of policy ultimately work through θ. Macro price policies operate primarily through the price signal channel in Layer 1, with θ effects emerging only through medium-to-long-run accumulation in Layer 2. The Lucas Critique </w:t>
      </w:r>
      <w:r w:rsidRPr="005007BA">
        <w:rPr>
          <w:rFonts w:eastAsia="Times New Roman"/>
          <w:sz w:val="30"/>
          <w:szCs w:val="30"/>
        </w:rPr>
        <w:lastRenderedPageBreak/>
        <w:t>applies fully to Layer 1: rational agents respond to price signal changes immediately, making short-run behavioral parameters policy-contingent. Micro institutional policies operate primarily through the incentive structure channel, affecting θ more directly by altering the rules governing corporate performance metering. The Lucas Critique applies weakly to this layer: the timescale of institutional adjustment is incompatible with the instantaneous expectation formation that rational expectations assumes.</w:t>
      </w:r>
    </w:p>
    <w:p w14:paraId="0BD92D1A" w14:textId="77777777" w:rsidR="00A05610" w:rsidRPr="005007BA" w:rsidRDefault="00C4118C">
      <w:pPr>
        <w:spacing w:before="160" w:after="160" w:line="380" w:lineRule="auto"/>
        <w:jc w:val="both"/>
      </w:pPr>
      <w:r w:rsidRPr="005007BA">
        <w:rPr>
          <w:rFonts w:eastAsia="Times New Roman"/>
          <w:sz w:val="30"/>
          <w:szCs w:val="30"/>
        </w:rPr>
        <w:t>The critical policy implication: macro price policy alone — however precisely calibrated — cannot substitute for micro institutional policy in determining long-run economic trajectories. This is the Policy-θ Transmission Mechanism’s central lesson, and it redefines what macroeconomic policy analysis is for.</w:t>
      </w:r>
    </w:p>
    <w:p w14:paraId="25A40481" w14:textId="77777777" w:rsidR="00A05610" w:rsidRPr="005007BA" w:rsidRDefault="00C4118C">
      <w:pPr>
        <w:spacing w:before="280" w:after="120" w:line="380" w:lineRule="auto"/>
        <w:jc w:val="both"/>
      </w:pPr>
      <w:r w:rsidRPr="005007BA">
        <w:rPr>
          <w:b/>
          <w:bCs/>
          <w:sz w:val="32"/>
          <w:szCs w:val="32"/>
        </w:rPr>
        <w:t>V.4  The Orientation of Macro Policy Matters: ED-Consistent vs. EE-Neutral</w:t>
      </w:r>
    </w:p>
    <w:p w14:paraId="204D9C56" w14:textId="77777777" w:rsidR="00A05610" w:rsidRPr="005007BA" w:rsidRDefault="00C4118C">
      <w:pPr>
        <w:spacing w:before="160" w:after="160" w:line="380" w:lineRule="auto"/>
        <w:jc w:val="both"/>
      </w:pPr>
      <w:r w:rsidRPr="005007BA">
        <w:rPr>
          <w:sz w:val="30"/>
          <w:szCs w:val="30"/>
        </w:rPr>
        <w:t>The Policy-θ Transmission Mechanism developed in this paper formalizes and extends an insight first articulated in Jwa (2017, Section 9.3.2). Writing before the formal θ framework was developed, Jwa (2017) identified three propositions about macroeconomic policy that are directly consistent with the two-layer framework of this paper.</w:t>
      </w:r>
    </w:p>
    <w:p w14:paraId="5C73500E" w14:textId="77777777" w:rsidR="00A05610" w:rsidRPr="005007BA" w:rsidRDefault="00C4118C">
      <w:pPr>
        <w:spacing w:before="160" w:after="160" w:line="380" w:lineRule="auto"/>
        <w:jc w:val="both"/>
      </w:pPr>
      <w:r w:rsidRPr="005007BA">
        <w:rPr>
          <w:sz w:val="30"/>
          <w:szCs w:val="30"/>
        </w:rPr>
        <w:t xml:space="preserve">First, conventional macroeconomics treats macro price policy as “neutral” or “stability-seeking,” avoiding distortions to relative prices. This corresponds precisely to DSGE’s Layer 1 framework: short-run price adjustment without permanent real effects. Jwa (2017) observed: “In the long run, monetary policy does not affect real variables via relative price </w:t>
      </w:r>
      <w:r w:rsidRPr="005007BA">
        <w:rPr>
          <w:sz w:val="30"/>
          <w:szCs w:val="30"/>
        </w:rPr>
        <w:lastRenderedPageBreak/>
        <w:t>changes” — which is exactly what the Policy-θ Transmission Mechanism formalizes: macro price policy alone leaves θ unchanged and therefore has no permanent effect on the growth trajectory.</w:t>
      </w:r>
    </w:p>
    <w:p w14:paraId="4ED3077F" w14:textId="77777777" w:rsidR="00A05610" w:rsidRPr="005007BA" w:rsidRDefault="00C4118C">
      <w:pPr>
        <w:spacing w:before="160" w:after="160" w:line="380" w:lineRule="auto"/>
        <w:jc w:val="both"/>
      </w:pPr>
      <w:r w:rsidRPr="005007BA">
        <w:rPr>
          <w:sz w:val="30"/>
          <w:szCs w:val="30"/>
        </w:rPr>
        <w:t>Second, Jwa (2017) identified the fundamental policy error of advanced economies: “Policy-makers tend to hide behind ‘neutral’ or ‘stability-seeking’ macroeconomic management tools, which have little or no permanent effect on the real economy. The real sources of current economic problems are egalitarian-seeking policies and institutions.” In the Policy-θ framework: neutral macro policy leaves θ at its EE-depressed level; it is the EE institutional configuration — not the macro policy tools deployed to address its symptoms — that generates polarized stagnation. Abenomics is the proof: three arrows of neutral macro stimulus, no θ restoration.</w:t>
      </w:r>
    </w:p>
    <w:p w14:paraId="10D367E2" w14:textId="77777777" w:rsidR="00A05610" w:rsidRPr="005007BA" w:rsidRDefault="00C4118C">
      <w:pPr>
        <w:spacing w:before="160" w:after="160" w:line="380" w:lineRule="auto"/>
        <w:jc w:val="both"/>
      </w:pPr>
      <w:r w:rsidRPr="005007BA">
        <w:rPr>
          <w:sz w:val="30"/>
          <w:szCs w:val="30"/>
        </w:rPr>
        <w:t>Third, and most importantly for the consistency of the two frameworks: Jwa (2017) argued that “macroeconomic policies can be used in a non-neutral manner to supplement or complement the underlying discriminatory socio-economic policies.” This is the Layer 2 mechanism of the Policy-θ Transmission: when macro price policy is oriented toward ED rather than EE-neutrality — performance-conditional credit allocation, discriminatory industrial financing, export-linked monetary incentives as in Korea’s developmental take-off — it operates through Layer 2, cumulatively reinforcing θ rather than leaving it unchanged. The distinction is not macro vs. micro policy but ED-oriented vs. EE-neutral policy.</w:t>
      </w:r>
    </w:p>
    <w:p w14:paraId="19450D4A" w14:textId="77777777" w:rsidR="00A05610" w:rsidRPr="005007BA" w:rsidRDefault="00C4118C">
      <w:pPr>
        <w:spacing w:before="160" w:after="160" w:line="380" w:lineRule="auto"/>
        <w:jc w:val="both"/>
      </w:pPr>
      <w:r w:rsidRPr="005007BA">
        <w:rPr>
          <w:sz w:val="30"/>
          <w:szCs w:val="30"/>
        </w:rPr>
        <w:t xml:space="preserve">The Policy-θ Transmission Mechanism thus refines rather than contradicts Jwa (2017). It adds three clarifications. First, the precise channel through which macro policy affects θ: not through short-run price adjustment (Layer </w:t>
      </w:r>
      <w:r w:rsidRPr="005007BA">
        <w:rPr>
          <w:sz w:val="30"/>
          <w:szCs w:val="30"/>
        </w:rPr>
        <w:lastRenderedPageBreak/>
        <w:t>1) but through the medium-to-long-run accumulation of expectational and incentive effects (Layer 2). Second, the temporal dimension: even ED-oriented macro policy affects θ gradually, over years and decades, not quarters — which is why the thirty-year Korean developmental trajectory required sustained ED macro orientation, not a single discriminatory policy shock. Third, the formal connection to the Lucas Critique: θ is the deep structural parameter that Lucas demanded and DSGE could not deliver, and the Policy-θ Transmission Mechanism shows precisely how macro policy affects this deep parameter through the Layer 2 channel — a formalization that was beyond the scope of Jwa (2017) but is now made possible by the full GTED theoretical apparatus.</w:t>
      </w:r>
    </w:p>
    <w:p w14:paraId="091B8E9A" w14:textId="77777777" w:rsidR="00A05610" w:rsidRPr="005007BA" w:rsidRDefault="00C4118C">
      <w:pPr>
        <w:spacing w:before="200" w:after="200" w:line="380" w:lineRule="auto"/>
        <w:ind w:left="720" w:right="720"/>
        <w:jc w:val="both"/>
      </w:pPr>
      <w:r w:rsidRPr="005007BA">
        <w:rPr>
          <w:i/>
          <w:iCs/>
          <w:sz w:val="28"/>
          <w:szCs w:val="28"/>
        </w:rPr>
        <w:t>“The Policy-θ Transmission Mechanism answers the question that Jwa (2017, §9.3.2) posed but did not yet have the tools to formalize: how exactly do macroeconomic policies affect the institutional parameter θ? Through the Layer 2 accumulation channel — but only when they are oriented toward ED rather than EE-neutrality. DSGE’s neutral macro policy leaves θ unchanged. ED-consistent macro policy shifts θ through cumulative expectational and incentive effects over decades. The difference is not which tool is used but in which institutional direction it is aimed.”</w:t>
      </w:r>
    </w:p>
    <w:p w14:paraId="013A5EB3" w14:textId="77777777" w:rsidR="00A05610" w:rsidRPr="005007BA" w:rsidRDefault="00C4118C">
      <w:pPr>
        <w:spacing w:before="320" w:after="160" w:line="400" w:lineRule="auto"/>
        <w:jc w:val="both"/>
      </w:pPr>
      <w:r w:rsidRPr="005007BA">
        <w:rPr>
          <w:b/>
          <w:bCs/>
          <w:sz w:val="32"/>
          <w:szCs w:val="32"/>
        </w:rPr>
        <w:t>V.5  ED Monetary and Credit Policy as Development Policy: Historical Evidence</w:t>
      </w:r>
    </w:p>
    <w:p w14:paraId="374FA7B5" w14:textId="77777777" w:rsidR="00A05610" w:rsidRPr="005007BA" w:rsidRDefault="00C4118C">
      <w:pPr>
        <w:spacing w:before="160" w:after="160" w:line="400" w:lineRule="auto"/>
        <w:jc w:val="both"/>
      </w:pPr>
      <w:r w:rsidRPr="005007BA">
        <w:rPr>
          <w:sz w:val="28"/>
          <w:szCs w:val="28"/>
        </w:rPr>
        <w:t xml:space="preserve">The foregoing analysis carries a historical implication that extends far beyond the post-war East Asian cases typically cited in the development economics literature. If ED-oriented macro policy activates the Layer 2 channel of the Policy-θ </w:t>
      </w:r>
      <w:r w:rsidRPr="005007BA">
        <w:rPr>
          <w:sz w:val="28"/>
          <w:szCs w:val="28"/>
        </w:rPr>
        <w:lastRenderedPageBreak/>
        <w:t>Transmission Mechanism — cumulatively reinforcing θ through performance-conditional credit allocation and discriminatory financial support — then the Industrial Revolution itself, and the subsequent waves of industrial catch-up in the nineteenth and twentieth centuries, are best understood as the historical products of ED monetary, credit, and industrial policy operating in concert. The Industrial Revolution was not the spontaneous outcome of free markets allocating resources neutrally to their highest-valued uses; it was the product of a sustained ED development policy framework in which credit, finance, and industrial support were discriminatorily directed toward high-performance entrepreneurs and sectors.</w:t>
      </w:r>
    </w:p>
    <w:p w14:paraId="05E1AAD1" w14:textId="77777777" w:rsidR="00A05610" w:rsidRPr="005007BA" w:rsidRDefault="00C4118C">
      <w:pPr>
        <w:spacing w:before="160" w:after="160" w:line="400" w:lineRule="auto"/>
        <w:jc w:val="both"/>
      </w:pPr>
      <w:r w:rsidRPr="005007BA">
        <w:rPr>
          <w:sz w:val="28"/>
          <w:szCs w:val="28"/>
        </w:rPr>
        <w:t xml:space="preserve">The British Industrial Revolution (1760–1840) combined ED credit policy with ED industrial policy in a manner that the DSGE framework cannot model and that mainstream economic history has largely failed to theorize. The Bank of England (1694), the country banking system, and the bill of exchange network provided performance-conditional credit to manufacturers, merchants, and innovators — not neutral, uniformly available finance, but discriminatory credit that flowed toward entrepreneurs demonstrating commercial viability and withdrew from those who did not. Patent law (Statute of Monopolies 1624, revised 1710) rewarded innovation differentially, providing time-limited monopoly rents to inventors — an explicitly ED institutional mechanism that generated the incentive to develop and deploy the steam engine, the spinning jenny, and the power loom. Navigation Acts, tariff protection, and colonial preference directed trade finance toward British manufacturers discriminatorily. The result was the most consequential θ elevation in economic history: the organizational technology A of the British corporate economy — manufacturing knowledge, supply chain management, factory organization — accumulated at a </w:t>
      </w:r>
      <w:r w:rsidRPr="005007BA">
        <w:rPr>
          <w:sz w:val="28"/>
          <w:szCs w:val="28"/>
        </w:rPr>
        <w:lastRenderedPageBreak/>
        <w:t>rate that no price-neutral monetary policy could have generated.</w:t>
      </w:r>
    </w:p>
    <w:p w14:paraId="3D62CD9F" w14:textId="77777777" w:rsidR="00A05610" w:rsidRPr="005007BA" w:rsidRDefault="00C4118C">
      <w:pPr>
        <w:spacing w:before="160" w:after="160" w:line="400" w:lineRule="auto"/>
        <w:jc w:val="both"/>
      </w:pPr>
      <w:r w:rsidRPr="005007BA">
        <w:rPr>
          <w:sz w:val="28"/>
          <w:szCs w:val="28"/>
        </w:rPr>
        <w:t>The German industrial catch-up (1870–1914) provides perhaps the clearest case of ED monetary and credit policy as development policy. The German universal banks — Deutsche Bank, Dresdner Bank, Commerzbank — did not allocate credit neutrally to anonymous borrowers at market-clearing rates; they monitored corporate performance through Hausbank relationships, provided long-term patient capital to high-performance manufacturers, sat on supervisory boards to enforce corporate governance discipline (CEO metering in GTED terms), and withdrew credit from underperformers. This is ED monetary policy: performance-conditional, discriminatory, and explicitly oriented toward CA accumulation in the chemical, electrical, and mechanical engineering industries that Germany rapidly came to dominate. The Gerschenkron (1962) thesis — that late industrializers rely on bank-mediated investment coordination — is correctly understood in GTED terms as the observation that catch-up requires ED credit policy to generate the θ elevation that drives CA accumulation during the critical developmental phase.</w:t>
      </w:r>
    </w:p>
    <w:p w14:paraId="1277215C" w14:textId="77777777" w:rsidR="00A05610" w:rsidRPr="005007BA" w:rsidRDefault="00C4118C">
      <w:pPr>
        <w:spacing w:before="160" w:after="160" w:line="400" w:lineRule="auto"/>
        <w:jc w:val="both"/>
      </w:pPr>
      <w:r w:rsidRPr="005007BA">
        <w:rPr>
          <w:sz w:val="28"/>
          <w:szCs w:val="28"/>
        </w:rPr>
        <w:t xml:space="preserve">The U.S. industrialization (1865–1914) followed the same pattern. Hamilton’s “Report on Manufactures” (1791) articulated the first systematic ED industrial policy in American history: protective tariffs, bounties for domestic production, and preferential government procurement for American manufacturers. The National Banking Act (1863) created a discriminatory credit system that channeled finance toward nationally chartered banks and their industrial clients. The investment banking houses of J.P. Morgan and Kuhn, Loeb allocated capital to railroads, steel, and electricity through performance assessment and corporate governance engagement — not neutral market clearing. The result was the most </w:t>
      </w:r>
      <w:r w:rsidRPr="005007BA">
        <w:rPr>
          <w:sz w:val="28"/>
          <w:szCs w:val="28"/>
        </w:rPr>
        <w:lastRenderedPageBreak/>
        <w:t>rapid industrial CA accumulation in history, producing the world’s largest economy by 1890.</w:t>
      </w:r>
    </w:p>
    <w:p w14:paraId="7F477CAB" w14:textId="77777777" w:rsidR="00A05610" w:rsidRPr="005007BA" w:rsidRDefault="00C4118C">
      <w:pPr>
        <w:spacing w:before="160" w:after="160" w:line="400" w:lineRule="auto"/>
        <w:jc w:val="both"/>
      </w:pPr>
      <w:r w:rsidRPr="005007BA">
        <w:rPr>
          <w:sz w:val="28"/>
          <w:szCs w:val="28"/>
        </w:rPr>
        <w:t>The post-war East Asian miracles — Japan (1955–1973), Korea (1961–1987), Taiwan, Singapore, and China’s Deng era — continued this historical pattern at its most explicit and systematic. The Korean Development Bank, the Export-Import Bank of Korea, and the banking system under Park Chung-hee’s direction allocated credit discriminatorily: to exporters who met performance targets, to industries designated as strategic for CA accumulation, and away from underperformers who failed the export discipline test. The Japan Development Bank, the Industrial Bank of Japan, and the keiretsu main bank system performed the same function during Japan’s miracle decade. These were explicitly ED monetary and credit policies operating as development policies — the monetary and financial instruments of the same θ-raising strategy that ED industrial policy pursued through sectoral targeting and performance-conditional subsidies.</w:t>
      </w:r>
    </w:p>
    <w:p w14:paraId="74869970" w14:textId="77777777" w:rsidR="00A05610" w:rsidRPr="005007BA" w:rsidRDefault="00C4118C">
      <w:pPr>
        <w:spacing w:before="200" w:after="200" w:line="400" w:lineRule="auto"/>
        <w:ind w:left="720" w:right="720"/>
        <w:jc w:val="both"/>
      </w:pPr>
      <w:r w:rsidRPr="005007BA">
        <w:rPr>
          <w:i/>
          <w:iCs/>
          <w:sz w:val="26"/>
          <w:szCs w:val="26"/>
        </w:rPr>
        <w:t xml:space="preserve">“The Industrial Revolution, and every subsequent wave of successful industrial catch-up, was the historical product of ED monetary, credit, and industrial policy operating as a unified ED development policy framework. The DSGE prescription of neutral, stability-seeking monetary policy has never generated an industrial revolution. It has never generated a development miracle. What it has generated — wherever deployed as the primary macroeconomic tool in the absence of ED institutional policy — is the polarized stagnation that GTED predicts for low-θ economies: Abenomics without co-prosperity, the Nordic EE trap, the American Mature Democracy-Market Trap (MDT for brief). The lesson of economic history is the lesson of GTED: neutral macro policy is insufficient; ED development policy — in its monetary, credit, and </w:t>
      </w:r>
      <w:r w:rsidRPr="005007BA">
        <w:rPr>
          <w:i/>
          <w:iCs/>
          <w:sz w:val="26"/>
          <w:szCs w:val="26"/>
        </w:rPr>
        <w:lastRenderedPageBreak/>
        <w:t>industrial forms — is what generates the θ elevation that drives the corporate economy’s co-prosperity trajectory.”</w:t>
      </w:r>
    </w:p>
    <w:p w14:paraId="6AB95E7D" w14:textId="77777777" w:rsidR="00A05610" w:rsidRPr="005007BA" w:rsidRDefault="00C4118C">
      <w:pPr>
        <w:spacing w:before="480" w:after="200"/>
      </w:pPr>
      <w:r w:rsidRPr="005007BA">
        <w:rPr>
          <w:rFonts w:eastAsia="Times New Roman"/>
          <w:b/>
          <w:bCs/>
          <w:sz w:val="40"/>
          <w:szCs w:val="40"/>
        </w:rPr>
        <w:t>VI.  The Revival of Structural SEMs: Conceptual Foundations</w:t>
      </w:r>
    </w:p>
    <w:p w14:paraId="646AC48A" w14:textId="77777777" w:rsidR="00A05610" w:rsidRPr="005007BA" w:rsidRDefault="00C4118C">
      <w:pPr>
        <w:spacing w:before="160" w:after="160" w:line="380" w:lineRule="auto"/>
        <w:jc w:val="both"/>
      </w:pPr>
      <w:r w:rsidRPr="005007BA">
        <w:rPr>
          <w:rFonts w:eastAsia="Times New Roman"/>
          <w:sz w:val="30"/>
          <w:szCs w:val="30"/>
        </w:rPr>
        <w:t>With CA as the theoretically coherent capital measure and θ as a materially deeper structural parameter than DSGE’s calibrated preferences, the central conceptual obstacles to structural SEM estimation are substantially reduced. This section develops the intuition; technical implementation details are in Appendix A.</w:t>
      </w:r>
    </w:p>
    <w:p w14:paraId="6F02C7E2" w14:textId="77777777" w:rsidR="00A05610" w:rsidRPr="005007BA" w:rsidRDefault="00C4118C">
      <w:pPr>
        <w:spacing w:before="360" w:after="160"/>
      </w:pPr>
      <w:r w:rsidRPr="005007BA">
        <w:rPr>
          <w:rFonts w:eastAsia="Times New Roman"/>
          <w:b/>
          <w:bCs/>
          <w:sz w:val="32"/>
          <w:szCs w:val="32"/>
        </w:rPr>
        <w:t>VI.1  Why the Lucas Critique Does Not Preclude the GTED System</w:t>
      </w:r>
    </w:p>
    <w:p w14:paraId="58BB1C91" w14:textId="77777777" w:rsidR="00A05610" w:rsidRPr="005007BA" w:rsidRDefault="00C4118C">
      <w:pPr>
        <w:spacing w:before="160" w:after="160" w:line="380" w:lineRule="auto"/>
        <w:jc w:val="both"/>
      </w:pPr>
      <w:r w:rsidRPr="005007BA">
        <w:rPr>
          <w:rFonts w:eastAsia="Times New Roman"/>
          <w:sz w:val="30"/>
          <w:szCs w:val="30"/>
        </w:rPr>
        <w:t xml:space="preserve">The Lucas Critique established that behavioral parameters governing agents’ responses to macro price policy signals are not structurally invariant. But the GTED system’s parameters — the output elasticity of corporate assets α, the organizational technology elasticity γ, and above all the institutional parameter θ — are not behavioral parameters in Lucas’s sense. They are institutional parameters that reflect the deep configuration of the corporate economy rather than agents’ optimal responses to current price signals. These parameters are stable within institutional regimes and shift only when the regime itself changes — at intervals measured in decades, not quarters. This is closer to the property Lucas demanded of truly structural parameters than DSGE’s calibrated preferences achieve — though, as Section IV.2 notes, this narrows Lucas’s concern rather than eliminating it outright; CA’s resolution of the separate Cambridge measurement problem should not be </w:t>
      </w:r>
      <w:r w:rsidRPr="005007BA">
        <w:rPr>
          <w:rFonts w:eastAsia="Times New Roman"/>
          <w:sz w:val="30"/>
          <w:szCs w:val="30"/>
        </w:rPr>
        <w:lastRenderedPageBreak/>
        <w:t>conflated with full Lucas-invariance.</w:t>
      </w:r>
    </w:p>
    <w:p w14:paraId="1D43BD12" w14:textId="77777777" w:rsidR="00A05610" w:rsidRPr="005007BA" w:rsidRDefault="00C4118C">
      <w:pPr>
        <w:spacing w:before="160" w:after="160" w:line="380" w:lineRule="auto"/>
        <w:jc w:val="both"/>
      </w:pPr>
      <w:r w:rsidRPr="005007BA">
        <w:rPr>
          <w:rFonts w:eastAsia="Times New Roman"/>
          <w:sz w:val="30"/>
          <w:szCs w:val="30"/>
        </w:rPr>
        <w:t>The key insight is that the GTED system exhibits two-level parameter stability: within a given institutional regime (a given θ), the structural parameters are stable across macro price policy changes (addressing the Lucas Critique); across regime changes, the structural parameters shift in ways that are predictable from the direction of θ change (confirming institutional identification). This two-level structure — stable within, shifting across — is visible in the data as parameter stability within institutionally identified subsamples and significant parameter shifts at subsample boundaries corresponding to known institutional transitions. See Appendix A for the formal identification strategy and estimation hierarchy.</w:t>
      </w:r>
    </w:p>
    <w:p w14:paraId="4AB91F93" w14:textId="77777777" w:rsidR="00A05610" w:rsidRPr="005007BA" w:rsidRDefault="00C4118C">
      <w:pPr>
        <w:spacing w:before="360" w:after="160"/>
      </w:pPr>
      <w:r w:rsidRPr="005007BA">
        <w:rPr>
          <w:rFonts w:eastAsia="Times New Roman"/>
          <w:b/>
          <w:bCs/>
          <w:sz w:val="32"/>
          <w:szCs w:val="32"/>
        </w:rPr>
        <w:t>VI.2  The GTED System as Identified Structural SEM</w:t>
      </w:r>
    </w:p>
    <w:p w14:paraId="3AFD218B" w14:textId="77777777" w:rsidR="00A05610" w:rsidRPr="005007BA" w:rsidRDefault="00C4118C">
      <w:pPr>
        <w:spacing w:before="160" w:after="160" w:line="380" w:lineRule="auto"/>
        <w:jc w:val="both"/>
      </w:pPr>
      <w:r w:rsidRPr="005007BA">
        <w:rPr>
          <w:rFonts w:eastAsia="Times New Roman"/>
          <w:sz w:val="30"/>
          <w:szCs w:val="30"/>
        </w:rPr>
        <w:t>The GTED four-equation dynamic system constitutes a structural SEM in the Klein-Goldberger tradition, with three important advances. First, the capital measure is coherent: CA replaces K, eliminating the Cambridge problem that originally motivated the resort to calibration. Second, the identifying restrictions are institutional: rather than the exclusion restrictions of the Cowles Commission approach — which the Lucas Critique showed to be policy-contingent — identification comes from θ, an institutional parameter that is stable within regimes and therefore genuinely structural. Third, the system has two stable equilibria: the co-prosperity equilibrium (high θ) and the polarized stagnation equilibrium (low θ). This non-linearity is not a complication; it is an empirical prediction that distinguishes GTED from both SEMs (which assumed a unique equilibrium) and DSGE (which requires it).</w:t>
      </w:r>
    </w:p>
    <w:p w14:paraId="1BFCB4DB" w14:textId="77777777" w:rsidR="00A05610" w:rsidRPr="005007BA" w:rsidRDefault="00C4118C">
      <w:pPr>
        <w:spacing w:before="160" w:after="160" w:line="380" w:lineRule="auto"/>
        <w:jc w:val="both"/>
      </w:pPr>
      <w:r w:rsidRPr="005007BA">
        <w:rPr>
          <w:rFonts w:eastAsia="Times New Roman"/>
          <w:sz w:val="30"/>
          <w:szCs w:val="30"/>
        </w:rPr>
        <w:lastRenderedPageBreak/>
        <w:t>The practical implication for policy analysis: the GTED structural SEM generates two types of counterfactual that DSGE cannot produce. Within a given θ regime, it generates counterfactuals for macro price policy changes, complementing DSGE analysis. Across θ regimes, it generates counterfactuals for institutional policy changes — what happens to CA accumulation and the output-inequality relationship if θ shifts? These are the counterfactuals that matter for understanding Japan’s Lost Decades, Korea’s post-1987 trajectory, and the Nordic EE trap — and they are precisely what DSGE cannot generate.</w:t>
      </w:r>
    </w:p>
    <w:p w14:paraId="48B2E37D" w14:textId="77777777" w:rsidR="00A05610" w:rsidRPr="005007BA" w:rsidRDefault="00C4118C">
      <w:pPr>
        <w:spacing w:before="360" w:after="160"/>
      </w:pPr>
      <w:r w:rsidRPr="005007BA">
        <w:rPr>
          <w:rFonts w:eastAsia="Times New Roman"/>
          <w:b/>
          <w:bCs/>
          <w:sz w:val="32"/>
          <w:szCs w:val="32"/>
        </w:rPr>
        <w:t>VI.3  CA Data and the Empirical Foundation</w:t>
      </w:r>
    </w:p>
    <w:p w14:paraId="11CE1984" w14:textId="77777777" w:rsidR="00A05610" w:rsidRPr="005007BA" w:rsidRDefault="00C4118C">
      <w:pPr>
        <w:spacing w:before="160" w:after="160" w:line="380" w:lineRule="auto"/>
        <w:jc w:val="both"/>
      </w:pPr>
      <w:r w:rsidRPr="005007BA">
        <w:rPr>
          <w:rFonts w:eastAsia="Times New Roman"/>
          <w:sz w:val="30"/>
          <w:szCs w:val="30"/>
        </w:rPr>
        <w:t>The empirical revival of structural SEMs requires a capital measure that is both theoretically coherent and empirically available across countries and time. CA satisfies both requirements. Compustat Global provides corporate balance sheet data for publicly listed corporations in eighty-plus countries from the mid-1980s to the present, updated quarterly and subject to audit verification under IFRS (140+ countries) and GAAP. Aggregating firm-level total assets to the national level generates CA series that are comprehensive (physical, technology, human-embedded, and organizational capital all included), comparable across countries (standardized under international accounting standards), and continuously updated (reflecting market revaluation and impairment testing rather than annual depreciation schedules). This is the empirical anchor that structural SEM estimation requires and that K’s perpetual inventory method could never provide. Full data construction details are in Appendix B.</w:t>
      </w:r>
    </w:p>
    <w:p w14:paraId="2AB58E08" w14:textId="77777777" w:rsidR="00A05610" w:rsidRPr="005007BA" w:rsidRDefault="00C4118C">
      <w:pPr>
        <w:spacing w:before="480" w:after="200"/>
      </w:pPr>
      <w:r w:rsidRPr="005007BA">
        <w:rPr>
          <w:rFonts w:eastAsia="Times New Roman"/>
          <w:b/>
          <w:bCs/>
          <w:sz w:val="40"/>
          <w:szCs w:val="40"/>
        </w:rPr>
        <w:lastRenderedPageBreak/>
        <w:t>VII.  Three Empirical Illustrations: Where DSGE Failed and GTED Succeeds</w:t>
      </w:r>
    </w:p>
    <w:p w14:paraId="1216A1C6" w14:textId="77777777" w:rsidR="00A05610" w:rsidRPr="005007BA" w:rsidRDefault="00C4118C">
      <w:pPr>
        <w:spacing w:before="360" w:after="160"/>
      </w:pPr>
      <w:r w:rsidRPr="005007BA">
        <w:rPr>
          <w:rFonts w:eastAsia="Times New Roman"/>
          <w:b/>
          <w:bCs/>
          <w:sz w:val="32"/>
          <w:szCs w:val="32"/>
        </w:rPr>
        <w:t>VII.1  Abenomics: Macro Price Policy Without θ Restoration</w:t>
      </w:r>
    </w:p>
    <w:p w14:paraId="0948ECBE" w14:textId="77777777" w:rsidR="00A05610" w:rsidRPr="005007BA" w:rsidRDefault="00C4118C">
      <w:pPr>
        <w:spacing w:before="160" w:after="160" w:line="380" w:lineRule="auto"/>
        <w:jc w:val="both"/>
      </w:pPr>
      <w:r w:rsidRPr="005007BA">
        <w:rPr>
          <w:rFonts w:eastAsia="Times New Roman"/>
          <w:sz w:val="30"/>
          <w:szCs w:val="30"/>
        </w:rPr>
        <w:t>Japan’s Abenomics (2013–2021) is the most comprehensive macro price policy experiment in modern developed economy history: unprecedented quantitative and qualitative easing, aggressive fiscal stimulus, and structural reform promises. DSGE predicted output gap closure, inflation recovery to the 2% target, and wage growth through the Phillips curve mechanism. None of these predictions were confirmed at the scale predicted.</w:t>
      </w:r>
    </w:p>
    <w:p w14:paraId="4DAEF742" w14:textId="77777777" w:rsidR="00A05610" w:rsidRPr="005007BA" w:rsidRDefault="00C4118C">
      <w:pPr>
        <w:spacing w:before="160" w:after="160" w:line="380" w:lineRule="auto"/>
        <w:jc w:val="both"/>
      </w:pPr>
      <w:r w:rsidRPr="005007BA">
        <w:rPr>
          <w:rFonts w:eastAsia="Times New Roman"/>
          <w:sz w:val="30"/>
          <w:szCs w:val="30"/>
        </w:rPr>
        <w:t>The GTED structural analysis explains why. Japan’s institutional regime — lifetime employment, zombie firm forbearance, compressed CEO metering, the 1980 Large-Scale Retail Store Law — constitutes a low-θ EE configuration that macro price policy could not change. The empirical results across three institutional regimes (1988–1991, 1992–2012, 2013–2021) confirm the Policy-θ Transmission Mechanism precisely: monetary and fiscal stimulus partially restored the CA-output elasticity (from near-zero in the Lost Decades to statistically significant in the Abenomics era) but could not restore co-prosperity, because the distribution equation continued to show CA growth worsening rather than improving market income inequality. Layer 1 (macro price) worked; Layer 2 (θ restoration) was not addressed. Full regression results are in Appendix C.</w:t>
      </w:r>
    </w:p>
    <w:p w14:paraId="4C508EB2" w14:textId="77777777" w:rsidR="00A05610" w:rsidRPr="005007BA" w:rsidRDefault="00C4118C">
      <w:pPr>
        <w:spacing w:before="360" w:after="160"/>
      </w:pPr>
      <w:r w:rsidRPr="005007BA">
        <w:rPr>
          <w:rFonts w:eastAsia="Times New Roman"/>
          <w:b/>
          <w:bCs/>
          <w:sz w:val="32"/>
          <w:szCs w:val="32"/>
        </w:rPr>
        <w:t>VII.2  Korea 1987: A θ Transition Visible in Structural Parameters</w:t>
      </w:r>
    </w:p>
    <w:p w14:paraId="497F15D6" w14:textId="77777777" w:rsidR="00A05610" w:rsidRPr="005007BA" w:rsidRDefault="00C4118C">
      <w:pPr>
        <w:spacing w:before="160" w:after="160" w:line="380" w:lineRule="auto"/>
        <w:jc w:val="both"/>
      </w:pPr>
      <w:r w:rsidRPr="005007BA">
        <w:rPr>
          <w:rFonts w:eastAsia="Times New Roman"/>
          <w:sz w:val="30"/>
          <w:szCs w:val="30"/>
        </w:rPr>
        <w:t xml:space="preserve">Korea’s 1987 democratization generated no significant macro price policy change in the short run. Under DSGE, the 1987 transition would produce no </w:t>
      </w:r>
      <w:r w:rsidRPr="005007BA">
        <w:rPr>
          <w:rFonts w:eastAsia="Times New Roman"/>
          <w:sz w:val="30"/>
          <w:szCs w:val="30"/>
        </w:rPr>
        <w:lastRenderedPageBreak/>
        <w:t>structural break in the behavioral parameters of the macro model — because DSGE’s parameters respond to price signal changes, and 1987 changed institutions, not prices.</w:t>
      </w:r>
    </w:p>
    <w:p w14:paraId="2B757E0C" w14:textId="77777777" w:rsidR="00A05610" w:rsidRPr="005007BA" w:rsidRDefault="00C4118C">
      <w:pPr>
        <w:spacing w:before="160" w:after="160" w:line="380" w:lineRule="auto"/>
        <w:jc w:val="both"/>
      </w:pPr>
      <w:r w:rsidRPr="005007BA">
        <w:rPr>
          <w:rFonts w:eastAsia="Times New Roman"/>
          <w:sz w:val="30"/>
          <w:szCs w:val="30"/>
        </w:rPr>
        <w:t>The GTED structural analysis identifies a large and statistically significant structural break at 1987, confirmed by standard tests for parameter stability, in both the CA-output elasticity and the CA-inequality coefficient. Before 1987, rising CA was associated with falling market inequality — the co-prosperity signature. After 1987, as EE institutional accumulation progressively reduced θ, the CA-inequality coefficient turned statistically insignificant and eventually positive — the polarized stagnation signature. This is a θ transition: an institutional regime change that shifted the deep structural parameters of the system in ways predicted by GTED and invisible to DSGE. No monetary or fiscal policy instrument changed at 1987; the institutional architecture of the Korean corporate economy did.</w:t>
      </w:r>
    </w:p>
    <w:p w14:paraId="55715AE4" w14:textId="77777777" w:rsidR="00A05610" w:rsidRPr="005007BA" w:rsidRDefault="00C4118C">
      <w:pPr>
        <w:spacing w:before="360" w:after="160"/>
      </w:pPr>
      <w:r w:rsidRPr="005007BA">
        <w:rPr>
          <w:rFonts w:eastAsia="Times New Roman"/>
          <w:b/>
          <w:bCs/>
          <w:sz w:val="32"/>
          <w:szCs w:val="32"/>
        </w:rPr>
        <w:t>VII.3  The Nordic EE Trap: Fifty Years of θ Accumulation</w:t>
      </w:r>
    </w:p>
    <w:p w14:paraId="78B8B012" w14:textId="77777777" w:rsidR="00A05610" w:rsidRPr="005007BA" w:rsidRDefault="00C4118C">
      <w:pPr>
        <w:spacing w:before="160" w:after="160" w:line="380" w:lineRule="auto"/>
        <w:jc w:val="both"/>
      </w:pPr>
      <w:r w:rsidRPr="005007BA">
        <w:rPr>
          <w:rFonts w:eastAsia="Times New Roman"/>
          <w:sz w:val="30"/>
          <w:szCs w:val="30"/>
        </w:rPr>
        <w:t xml:space="preserve">The Nordic paradox — the world’s most generous welfare states alongside rising market income inequality — is a fifty-year institutional accumulation story. The θ decline is confirmed by the cross-group panel analysis covering thirty countries and five institutional groups (1987–2023): the Nordic group’s CA-output elasticity collapsed across three institutional phases, the EE-output coefficient turned significantly negative in the second phase (welfare expansion actively suppressing output growth), and the CA-inequality coefficient turned positive in the third phase as CA growth collapse generated polarized stagnation. The giniratio — the ratio of market to disposable income inequality — rose steadily across all three phases, </w:t>
      </w:r>
      <w:r w:rsidRPr="005007BA">
        <w:rPr>
          <w:rFonts w:eastAsia="Times New Roman"/>
          <w:sz w:val="30"/>
          <w:szCs w:val="30"/>
        </w:rPr>
        <w:lastRenderedPageBreak/>
        <w:t>tracking the cumulative θ decline through the Policy-θ Transmission Mechanism. DSGE has no framework for this phenomenon: it is not a price shock, not a preference shift, not a technology change. It is a fifty-year θ transition driven by the institutional accumulation of EE policies through the Layer 2 channel of the Policy-θ Transmission Mechanism. Full results in Appendix C.</w:t>
      </w:r>
    </w:p>
    <w:p w14:paraId="60479B2C" w14:textId="77777777" w:rsidR="00A05610" w:rsidRPr="005007BA" w:rsidRDefault="00C4118C">
      <w:pPr>
        <w:spacing w:before="480" w:after="200"/>
      </w:pPr>
      <w:r w:rsidRPr="005007BA">
        <w:rPr>
          <w:rFonts w:eastAsia="Times New Roman"/>
          <w:b/>
          <w:bCs/>
          <w:sz w:val="40"/>
          <w:szCs w:val="40"/>
        </w:rPr>
        <w:t>VIII.  A New Economic Policy Paradigm</w:t>
      </w:r>
    </w:p>
    <w:p w14:paraId="3618D1E8" w14:textId="77777777" w:rsidR="00A05610" w:rsidRPr="005007BA" w:rsidRDefault="00C4118C">
      <w:pPr>
        <w:spacing w:before="160" w:after="160" w:line="380" w:lineRule="auto"/>
        <w:jc w:val="both"/>
      </w:pPr>
      <w:r w:rsidRPr="005007BA">
        <w:rPr>
          <w:rFonts w:eastAsia="Times New Roman"/>
          <w:sz w:val="30"/>
          <w:szCs w:val="30"/>
        </w:rPr>
        <w:t>The revival of structural SEMs on GTED foundations does not merely provide better empirical tools; it redefines the scope of macroeconomic policy analysis. Three propositions constitute the new paradigm.</w:t>
      </w:r>
    </w:p>
    <w:p w14:paraId="713992D6" w14:textId="77777777" w:rsidR="00A05610" w:rsidRPr="005007BA" w:rsidRDefault="00C4118C">
      <w:pPr>
        <w:spacing w:before="160" w:after="160" w:line="380" w:lineRule="auto"/>
        <w:jc w:val="both"/>
      </w:pPr>
      <w:r w:rsidRPr="005007BA">
        <w:rPr>
          <w:rFonts w:eastAsia="Times New Roman"/>
          <w:sz w:val="30"/>
          <w:szCs w:val="30"/>
        </w:rPr>
        <w:t>First, macro price policy and micro institutional policy are complementary instruments addressing different timescales — they are not substitutes. DSGE-based macro price policy analysis remains valid and necessary for short-run stabilization within a given institutional regime. But it is insufficient: the institutional regime itself — the θ parameter — must be the target of a separate and equally rigorous analytical framework. Complete macroeconomic policy analysis requires both.</w:t>
      </w:r>
    </w:p>
    <w:p w14:paraId="48C3089D" w14:textId="77777777" w:rsidR="00A05610" w:rsidRPr="005007BA" w:rsidRDefault="00C4118C">
      <w:pPr>
        <w:spacing w:before="160" w:after="160" w:line="380" w:lineRule="auto"/>
        <w:jc w:val="both"/>
      </w:pPr>
      <w:r w:rsidRPr="005007BA">
        <w:rPr>
          <w:rFonts w:eastAsia="Times New Roman"/>
          <w:sz w:val="30"/>
          <w:szCs w:val="30"/>
        </w:rPr>
        <w:t>Second, θ restoration is the primary long-run policy objective for economies experiencing polarized stagnation. Abenomics’ failure demonstrates that macro price policy, however precisely calibrated, cannot substitute for the micro institutional reforms that θ restoration requires: corporate governance reform to restore performance-based metering, labor market restructuring to reconnect wages to productivity, social policy redirection from universal redistribution to performance-compatible investment.</w:t>
      </w:r>
    </w:p>
    <w:p w14:paraId="7D2E4606" w14:textId="77777777" w:rsidR="00A05610" w:rsidRPr="005007BA" w:rsidRDefault="00C4118C">
      <w:pPr>
        <w:spacing w:before="160" w:after="160" w:line="380" w:lineRule="auto"/>
        <w:jc w:val="both"/>
      </w:pPr>
      <w:r w:rsidRPr="005007BA">
        <w:rPr>
          <w:rFonts w:eastAsia="Times New Roman"/>
          <w:sz w:val="30"/>
          <w:szCs w:val="30"/>
        </w:rPr>
        <w:lastRenderedPageBreak/>
        <w:t>Third, the GTED structural SEM, estimated from CA data with θ-identified institutional restrictions, provides the operational policy tool for analyzing θ dynamics. Unlike DSGE, which generates counterfactuals for macro price policy changes within a calibrated representative-agent framework, the GTED structural SEM generates counterfactuals for institutional regime changes: what CA accumulation path follows a shift from EE toward ED institutional configuration? What output and distribution trajectory corresponds to θ restoration? These are the questions that the Klein-Goldberger tradition’s successors should be answering, and that the GTED structural SEM, on CA foundations with θ identification, makes it possible to answer.</w:t>
      </w:r>
    </w:p>
    <w:p w14:paraId="73414FF5" w14:textId="77777777" w:rsidR="00A05610" w:rsidRPr="005007BA" w:rsidRDefault="00C4118C">
      <w:pPr>
        <w:spacing w:before="200" w:after="200" w:line="380" w:lineRule="auto"/>
        <w:ind w:left="720" w:right="720"/>
        <w:jc w:val="both"/>
      </w:pPr>
      <w:r w:rsidRPr="005007BA">
        <w:rPr>
          <w:rFonts w:eastAsia="Times New Roman"/>
          <w:sz w:val="28"/>
          <w:szCs w:val="28"/>
        </w:rPr>
        <w:t>“Short-run price stability — DSGE’s domain — is necessary but not sufficient. Long-run institutional balance — keeping θ in the ED zone through the Policy-θ Transmission Mechanism — is the fundamental determinant of whether an economy achieves co-prosperity or polarized stagnation. The structural SEM, revived with CA and θ, is the analytical instrument that macroeconomics needs to pursue both objectives simultaneously.”</w:t>
      </w:r>
    </w:p>
    <w:p w14:paraId="2BA56CE8" w14:textId="77777777" w:rsidR="00A05610" w:rsidRPr="005007BA" w:rsidRDefault="00C4118C">
      <w:pPr>
        <w:spacing w:before="480" w:after="200"/>
      </w:pPr>
      <w:r w:rsidRPr="005007BA">
        <w:rPr>
          <w:rFonts w:eastAsia="Times New Roman"/>
          <w:b/>
          <w:bCs/>
          <w:sz w:val="40"/>
          <w:szCs w:val="40"/>
        </w:rPr>
        <w:t>IX.  Conclusion</w:t>
      </w:r>
    </w:p>
    <w:p w14:paraId="044FC059" w14:textId="77777777" w:rsidR="00A05610" w:rsidRPr="005007BA" w:rsidRDefault="00C4118C">
      <w:pPr>
        <w:spacing w:before="160" w:after="160" w:line="380" w:lineRule="auto"/>
        <w:jc w:val="both"/>
      </w:pPr>
      <w:r w:rsidRPr="005007BA">
        <w:rPr>
          <w:rFonts w:eastAsia="Times New Roman"/>
          <w:sz w:val="30"/>
          <w:szCs w:val="30"/>
        </w:rPr>
        <w:t xml:space="preserve">The displacement of structural SEMs by DSGE was necessary: the Lucas Critique correctly identified that behavioral parameters estimated under one macro price policy regime do not remain stable under another. But the DSGE solution came at two costs that are now constraining the discipline: the abandonment of empirical capital measurement, and the category error </w:t>
      </w:r>
      <w:r w:rsidRPr="005007BA">
        <w:rPr>
          <w:rFonts w:eastAsia="Times New Roman"/>
          <w:sz w:val="30"/>
          <w:szCs w:val="30"/>
        </w:rPr>
        <w:lastRenderedPageBreak/>
        <w:t>of extending rational expectations to institutional behavior that operates on entirely different timescales and through entirely different mechanisms.</w:t>
      </w:r>
    </w:p>
    <w:p w14:paraId="0292D56D" w14:textId="77777777" w:rsidR="00A05610" w:rsidRPr="005007BA" w:rsidRDefault="00C4118C">
      <w:pPr>
        <w:spacing w:before="160" w:after="160" w:line="380" w:lineRule="auto"/>
        <w:jc w:val="both"/>
      </w:pPr>
      <w:r w:rsidRPr="005007BA">
        <w:rPr>
          <w:rFonts w:eastAsia="Times New Roman"/>
          <w:sz w:val="30"/>
          <w:szCs w:val="30"/>
        </w:rPr>
        <w:t>GTED’s double resolution — corporate assets as theoretically coherent capital, and the θ equilibrium as a materially deeper structural parameter — makes possible the revival of structural simultaneous equation models on foundations that resolve the Cambridge Capital Controversy by construction and substantially narrow, without fully eliminating, the Lucas Critique’s concern. The Policy-θ Transmission Mechanism provides the conceptual framework: DSGE correctly models short-run macro price adjustment (Layer 1); the GTED structural SEM models medium-to-long-run θ dynamics (Layer 2). The two frameworks are complementary, and complete macroeconomic policy analysis requires both.</w:t>
      </w:r>
    </w:p>
    <w:p w14:paraId="561267D3" w14:textId="77777777" w:rsidR="00A05610" w:rsidRPr="005007BA" w:rsidRDefault="00C4118C">
      <w:pPr>
        <w:spacing w:before="160" w:after="160" w:line="380" w:lineRule="auto"/>
        <w:jc w:val="both"/>
      </w:pPr>
      <w:r w:rsidRPr="005007BA">
        <w:rPr>
          <w:rFonts w:eastAsia="Times New Roman"/>
          <w:sz w:val="30"/>
          <w:szCs w:val="30"/>
        </w:rPr>
        <w:t>The three empirical illustrations — Abenomics, Korea 1987, the Nordic EE trap — confirm what the theory predicts: DSGE systematically fails where θ transitions determine outcomes, because institutional transitions are not price shocks and cannot be modeled as such. The GTED structural SEM, estimated from CA balance sheet data with θ-based institutional identification, identifies these transitions, estimates their magnitude, and generates the policy counterfactuals that the Klein-Goldberger tradition sought but could not achieve with incoherent K and policy-contingent identification. The structural SEM is not dead. It is waiting for CA and θ.</w:t>
      </w:r>
    </w:p>
    <w:p w14:paraId="1B25F075" w14:textId="77777777" w:rsidR="00A05610" w:rsidRPr="005007BA" w:rsidRDefault="00C4118C">
      <w:pPr>
        <w:spacing w:before="480" w:after="200"/>
      </w:pPr>
      <w:r w:rsidRPr="005007BA">
        <w:rPr>
          <w:rFonts w:eastAsia="Times New Roman"/>
          <w:b/>
          <w:bCs/>
          <w:sz w:val="40"/>
          <w:szCs w:val="40"/>
        </w:rPr>
        <w:t>References</w:t>
      </w:r>
    </w:p>
    <w:p w14:paraId="19868B14" w14:textId="77777777" w:rsidR="00A05610" w:rsidRPr="005007BA" w:rsidRDefault="00C4118C">
      <w:pPr>
        <w:spacing w:before="60" w:after="60" w:line="380" w:lineRule="auto"/>
        <w:jc w:val="both"/>
      </w:pPr>
      <w:r w:rsidRPr="005007BA">
        <w:rPr>
          <w:rFonts w:eastAsia="Times New Roman"/>
          <w:sz w:val="30"/>
          <w:szCs w:val="30"/>
        </w:rPr>
        <w:t>Andrews, D.W.K. (1993). Tests for parameter instability and structural change with unknown change point. Econometrica, 61(4), 821–856.</w:t>
      </w:r>
    </w:p>
    <w:p w14:paraId="5992382F" w14:textId="77777777" w:rsidR="00A05610" w:rsidRPr="005007BA" w:rsidRDefault="00C4118C">
      <w:pPr>
        <w:spacing w:before="60" w:after="60" w:line="380" w:lineRule="auto"/>
        <w:jc w:val="both"/>
      </w:pPr>
      <w:r w:rsidRPr="005007BA">
        <w:rPr>
          <w:rFonts w:eastAsia="Times New Roman"/>
          <w:sz w:val="30"/>
          <w:szCs w:val="30"/>
        </w:rPr>
        <w:lastRenderedPageBreak/>
        <w:t>Bai, J. and Perron, P. (1998). Estimating and testing linear models with multiple structural changes. Econometrica, 66(1), 47–78.</w:t>
      </w:r>
    </w:p>
    <w:p w14:paraId="59824C92" w14:textId="77777777" w:rsidR="00A05610" w:rsidRPr="005007BA" w:rsidRDefault="00C4118C">
      <w:pPr>
        <w:spacing w:before="60" w:after="60" w:line="380" w:lineRule="auto"/>
        <w:jc w:val="both"/>
      </w:pPr>
      <w:r w:rsidRPr="005007BA">
        <w:rPr>
          <w:rFonts w:eastAsia="Times New Roman"/>
          <w:sz w:val="30"/>
          <w:szCs w:val="30"/>
        </w:rPr>
        <w:t>Bai, J. and Perron, P. (2003). Computation and analysis of multiple structural change models. Journal of Applied Econometrics, 18(1), 1–22.</w:t>
      </w:r>
    </w:p>
    <w:p w14:paraId="76C073A6" w14:textId="77777777" w:rsidR="00A05610" w:rsidRPr="005007BA" w:rsidRDefault="00C4118C">
      <w:pPr>
        <w:spacing w:before="60" w:after="60" w:line="380" w:lineRule="auto"/>
        <w:jc w:val="both"/>
      </w:pPr>
      <w:r w:rsidRPr="005007BA">
        <w:rPr>
          <w:rFonts w:eastAsia="Times New Roman"/>
          <w:sz w:val="30"/>
          <w:szCs w:val="30"/>
        </w:rPr>
        <w:t>Chow, G.C. (1960). Tests of equality between sets of coefficients in two linear regressions. Econometrica, 28(3), 591–605.</w:t>
      </w:r>
    </w:p>
    <w:p w14:paraId="502195C0" w14:textId="77777777" w:rsidR="00A05610" w:rsidRPr="005007BA" w:rsidRDefault="00C4118C">
      <w:pPr>
        <w:spacing w:before="60" w:after="60" w:line="380" w:lineRule="auto"/>
        <w:jc w:val="both"/>
      </w:pPr>
      <w:r w:rsidRPr="005007BA">
        <w:rPr>
          <w:rFonts w:eastAsia="Times New Roman"/>
          <w:sz w:val="30"/>
          <w:szCs w:val="30"/>
        </w:rPr>
        <w:t>Duesenberry, J.S., Fromm, G., Klein, L.R. and Kuh, E. (eds.) (1965). The Brookings Quarterly Econometric Model of the United States. Rand McNally.</w:t>
      </w:r>
    </w:p>
    <w:p w14:paraId="337AB6B3" w14:textId="77777777" w:rsidR="00A05610" w:rsidRPr="005007BA" w:rsidRDefault="00C4118C">
      <w:pPr>
        <w:spacing w:before="60" w:after="60" w:line="380" w:lineRule="auto"/>
        <w:jc w:val="both"/>
      </w:pPr>
      <w:r w:rsidRPr="005007BA">
        <w:rPr>
          <w:rFonts w:eastAsia="Times New Roman"/>
          <w:sz w:val="30"/>
          <w:szCs w:val="30"/>
        </w:rPr>
        <w:t>Driscoll, J.C. and Kraay, A.C. (1998). Consistent covariance matrix estimation with spatially dependent panel data. Review of Economics and Statistics, 80(4), 549–560.</w:t>
      </w:r>
    </w:p>
    <w:p w14:paraId="05BFC39A" w14:textId="77777777" w:rsidR="00A05610" w:rsidRPr="005007BA" w:rsidRDefault="00C4118C">
      <w:pPr>
        <w:spacing w:before="60" w:after="60" w:line="380" w:lineRule="auto"/>
        <w:jc w:val="both"/>
      </w:pPr>
      <w:r w:rsidRPr="005007BA">
        <w:rPr>
          <w:rFonts w:eastAsia="Times New Roman"/>
          <w:sz w:val="30"/>
          <w:szCs w:val="30"/>
        </w:rPr>
        <w:t>Engle, R.F. and Granger, C.W.J. (1987). Co-integration and error correction: representation, estimation, and testing. Econometrica, 55(2), 251–276.</w:t>
      </w:r>
    </w:p>
    <w:p w14:paraId="28BFA4DE" w14:textId="77777777" w:rsidR="00A05610" w:rsidRPr="005007BA" w:rsidRDefault="00C4118C">
      <w:pPr>
        <w:spacing w:before="60" w:after="60" w:line="380" w:lineRule="auto"/>
        <w:jc w:val="both"/>
      </w:pPr>
      <w:r w:rsidRPr="005007BA">
        <w:rPr>
          <w:rFonts w:eastAsia="Times New Roman"/>
          <w:sz w:val="30"/>
          <w:szCs w:val="30"/>
        </w:rPr>
        <w:t>Fair, R.C. (1974). A Model of Macroeconomic Activity. Ballinger.</w:t>
      </w:r>
    </w:p>
    <w:p w14:paraId="5B249BC8" w14:textId="77777777" w:rsidR="00A05610" w:rsidRPr="005007BA" w:rsidRDefault="00C4118C">
      <w:pPr>
        <w:spacing w:before="60" w:after="60" w:line="380" w:lineRule="auto"/>
        <w:jc w:val="both"/>
      </w:pPr>
      <w:r w:rsidRPr="005007BA">
        <w:rPr>
          <w:rFonts w:eastAsia="Times New Roman"/>
          <w:sz w:val="30"/>
          <w:szCs w:val="30"/>
        </w:rPr>
        <w:t>Fisher, I. (1906). The Nature of Capital and Income. Macmillan.</w:t>
      </w:r>
    </w:p>
    <w:p w14:paraId="26793E45" w14:textId="77777777" w:rsidR="00A05610" w:rsidRPr="005007BA" w:rsidRDefault="00C4118C">
      <w:pPr>
        <w:spacing w:before="60" w:after="60" w:line="380" w:lineRule="auto"/>
        <w:jc w:val="both"/>
      </w:pPr>
      <w:r w:rsidRPr="005007BA">
        <w:rPr>
          <w:rFonts w:eastAsia="Times New Roman"/>
          <w:sz w:val="30"/>
          <w:szCs w:val="30"/>
        </w:rPr>
        <w:t>Haavelmo, T. (1944). The probability approach in econometrics. Econometrica, 12 (Supplement), 1–115.</w:t>
      </w:r>
    </w:p>
    <w:p w14:paraId="1456A527" w14:textId="77777777" w:rsidR="00AC68A4" w:rsidRPr="005007BA" w:rsidRDefault="00D05206">
      <w:pPr>
        <w:spacing w:before="60" w:after="60" w:line="380" w:lineRule="auto"/>
        <w:jc w:val="both"/>
      </w:pPr>
      <w:r w:rsidRPr="005007BA">
        <w:rPr>
          <w:rFonts w:eastAsia="Times New Roman"/>
          <w:sz w:val="30"/>
          <w:szCs w:val="30"/>
        </w:rPr>
        <w:t>Hayek, F.A. (1974). The pretence of knowledge. Nobel Memorial Lecture, December 11, 1974.</w:t>
      </w:r>
    </w:p>
    <w:p w14:paraId="5B0A729A" w14:textId="77777777" w:rsidR="00A05610" w:rsidRPr="005007BA" w:rsidRDefault="00C4118C">
      <w:pPr>
        <w:spacing w:before="60" w:after="60" w:line="380" w:lineRule="auto"/>
        <w:jc w:val="both"/>
      </w:pPr>
      <w:r w:rsidRPr="005007BA">
        <w:rPr>
          <w:rFonts w:eastAsia="Times New Roman"/>
          <w:sz w:val="30"/>
          <w:szCs w:val="30"/>
        </w:rPr>
        <w:t>Harcourt, G.C. (1969). Some Cambridge controversies in the theory of capital. Journal of Economic Literature, 7(2), 369–405.</w:t>
      </w:r>
    </w:p>
    <w:p w14:paraId="3ADB68F2" w14:textId="77777777" w:rsidR="00A05610" w:rsidRPr="005007BA" w:rsidRDefault="00C4118C">
      <w:pPr>
        <w:spacing w:before="60" w:after="60" w:line="380" w:lineRule="auto"/>
        <w:jc w:val="both"/>
      </w:pPr>
      <w:r w:rsidRPr="005007BA">
        <w:rPr>
          <w:rFonts w:eastAsia="Times New Roman"/>
          <w:sz w:val="30"/>
          <w:szCs w:val="30"/>
        </w:rPr>
        <w:t>Hausman, J.A. (1978). Specification tests in econometrics. Econometrica, 46(6), 1251–1271.</w:t>
      </w:r>
    </w:p>
    <w:p w14:paraId="0E55CE14" w14:textId="77777777" w:rsidR="00A05610" w:rsidRPr="005007BA" w:rsidRDefault="00C4118C">
      <w:pPr>
        <w:spacing w:before="60" w:after="60" w:line="380" w:lineRule="auto"/>
        <w:jc w:val="both"/>
      </w:pPr>
      <w:r w:rsidRPr="005007BA">
        <w:rPr>
          <w:rFonts w:eastAsia="Times New Roman"/>
          <w:sz w:val="30"/>
          <w:szCs w:val="30"/>
        </w:rPr>
        <w:lastRenderedPageBreak/>
        <w:t>Jwa, S-H. (2017). A General Theory of Economic Development: Towards a Capitalist Manifesto. Edward Elgar.</w:t>
      </w:r>
    </w:p>
    <w:p w14:paraId="0CCF97A8" w14:textId="40C00438" w:rsidR="00A05610" w:rsidRPr="005007BA" w:rsidRDefault="00C4118C" w:rsidP="00082757">
      <w:pPr>
        <w:widowControl/>
        <w:spacing w:after="200" w:line="360" w:lineRule="auto"/>
        <w:jc w:val="both"/>
        <w:outlineLvl w:val="2"/>
        <w:rPr>
          <w:rFonts w:eastAsia="굴림"/>
          <w:sz w:val="30"/>
          <w:szCs w:val="30"/>
        </w:rPr>
      </w:pPr>
      <w:r w:rsidRPr="005007BA">
        <w:rPr>
          <w:rFonts w:eastAsia="Times New Roman"/>
          <w:sz w:val="30"/>
          <w:szCs w:val="30"/>
        </w:rPr>
        <w:t xml:space="preserve">Jwa, S-H. (2026). </w:t>
      </w:r>
      <w:r w:rsidR="00082757" w:rsidRPr="005007BA">
        <w:rPr>
          <w:rFonts w:eastAsia="굴림"/>
          <w:sz w:val="30"/>
          <w:szCs w:val="30"/>
        </w:rPr>
        <w:t>Corporate Assets: Resolving the Cambridge Capital Controversies</w:t>
      </w:r>
      <w:r w:rsidRPr="005007BA">
        <w:rPr>
          <w:rFonts w:eastAsia="Times New Roman"/>
          <w:sz w:val="30"/>
          <w:szCs w:val="30"/>
        </w:rPr>
        <w:t xml:space="preserve">. </w:t>
      </w:r>
      <w:r w:rsidR="00082757" w:rsidRPr="005007BA">
        <w:rPr>
          <w:rFonts w:eastAsia="맑은 고딕"/>
          <w:sz w:val="30"/>
          <w:szCs w:val="30"/>
        </w:rPr>
        <w:t>Metroeconomica, u</w:t>
      </w:r>
      <w:r w:rsidRPr="005007BA">
        <w:rPr>
          <w:rFonts w:eastAsia="Times New Roman"/>
          <w:sz w:val="30"/>
          <w:szCs w:val="30"/>
        </w:rPr>
        <w:t>nder review.</w:t>
      </w:r>
    </w:p>
    <w:p w14:paraId="12F9B8F6" w14:textId="77777777" w:rsidR="00A05610" w:rsidRPr="005007BA" w:rsidRDefault="00C4118C">
      <w:pPr>
        <w:spacing w:before="60" w:after="60" w:line="380" w:lineRule="auto"/>
        <w:jc w:val="both"/>
      </w:pPr>
      <w:r w:rsidRPr="005007BA">
        <w:rPr>
          <w:rFonts w:eastAsia="Times New Roman"/>
          <w:sz w:val="30"/>
          <w:szCs w:val="30"/>
        </w:rPr>
        <w:t>Klein, L.R. and Goldberger, A.S. (1955). An Econometric Model of the United States 1929–1952. North-Holland.</w:t>
      </w:r>
    </w:p>
    <w:p w14:paraId="1139804C" w14:textId="77777777" w:rsidR="00A05610" w:rsidRPr="005007BA" w:rsidRDefault="00C4118C">
      <w:pPr>
        <w:spacing w:before="60" w:after="60" w:line="380" w:lineRule="auto"/>
        <w:jc w:val="both"/>
      </w:pPr>
      <w:r w:rsidRPr="005007BA">
        <w:rPr>
          <w:rFonts w:eastAsia="Times New Roman"/>
          <w:sz w:val="30"/>
          <w:szCs w:val="30"/>
        </w:rPr>
        <w:t>Kydland, F.E. and Prescott, E.C. (1982). Time to build and aggregate fluctuations. Econometrica, 50(6), 1345–1370.</w:t>
      </w:r>
    </w:p>
    <w:p w14:paraId="65FBAFA9" w14:textId="77777777" w:rsidR="00A05610" w:rsidRPr="005007BA" w:rsidRDefault="00C4118C">
      <w:pPr>
        <w:spacing w:before="60" w:after="60" w:line="380" w:lineRule="auto"/>
        <w:jc w:val="both"/>
      </w:pPr>
      <w:r w:rsidRPr="005007BA">
        <w:rPr>
          <w:rFonts w:eastAsia="Times New Roman"/>
          <w:sz w:val="30"/>
          <w:szCs w:val="30"/>
        </w:rPr>
        <w:t>Lucas, R.E. (1976). Econometric policy evaluation: A critique. Carnegie-Rochester Conference Series on Public Policy, 1, 19–46.</w:t>
      </w:r>
    </w:p>
    <w:p w14:paraId="038ECE40" w14:textId="77777777" w:rsidR="00A05610" w:rsidRPr="005007BA" w:rsidRDefault="00C4118C">
      <w:pPr>
        <w:spacing w:before="60" w:after="60" w:line="380" w:lineRule="auto"/>
        <w:jc w:val="both"/>
      </w:pPr>
      <w:r w:rsidRPr="005007BA">
        <w:rPr>
          <w:rFonts w:eastAsia="Times New Roman"/>
          <w:sz w:val="30"/>
          <w:szCs w:val="30"/>
        </w:rPr>
        <w:t>Mundlak, Y. (1978). On the pooling of time series and cross section data. Econometrica, 46(1), 69–85.</w:t>
      </w:r>
    </w:p>
    <w:p w14:paraId="188B174A" w14:textId="77777777" w:rsidR="00A05610" w:rsidRPr="005007BA" w:rsidRDefault="00C4118C">
      <w:pPr>
        <w:spacing w:before="60" w:after="60" w:line="380" w:lineRule="auto"/>
        <w:jc w:val="both"/>
      </w:pPr>
      <w:r w:rsidRPr="005007BA">
        <w:rPr>
          <w:rFonts w:eastAsia="Times New Roman"/>
          <w:sz w:val="30"/>
          <w:szCs w:val="30"/>
        </w:rPr>
        <w:t>Pedroni, P. (2000). Fully modified OLS for heterogeneous cointegrated panels. Advances in Econometrics, 15, 93–130.</w:t>
      </w:r>
    </w:p>
    <w:p w14:paraId="2B09218A" w14:textId="77777777" w:rsidR="00A05610" w:rsidRPr="005007BA" w:rsidRDefault="00C4118C">
      <w:pPr>
        <w:spacing w:before="60" w:after="60" w:line="380" w:lineRule="auto"/>
        <w:jc w:val="both"/>
      </w:pPr>
      <w:r w:rsidRPr="005007BA">
        <w:rPr>
          <w:rFonts w:eastAsia="Times New Roman"/>
          <w:sz w:val="30"/>
          <w:szCs w:val="30"/>
        </w:rPr>
        <w:t>Phillips, P.C.B. and Hansen, B.E. (1990). Statistical inference in instrumental variables regression with I(1) processes. Review of Economic Studies, 57(1), 99–125.</w:t>
      </w:r>
    </w:p>
    <w:p w14:paraId="185872B1" w14:textId="77777777" w:rsidR="00A05610" w:rsidRPr="005007BA" w:rsidRDefault="00C4118C">
      <w:pPr>
        <w:spacing w:before="60" w:after="60" w:line="380" w:lineRule="auto"/>
        <w:jc w:val="both"/>
      </w:pPr>
      <w:r w:rsidRPr="005007BA">
        <w:rPr>
          <w:rFonts w:eastAsia="Times New Roman"/>
          <w:sz w:val="30"/>
          <w:szCs w:val="30"/>
        </w:rPr>
        <w:t>Robinson, J. (1953–1954). The production function and the theory of capital. Review of Economic Studies, 21(2), 81–99.</w:t>
      </w:r>
    </w:p>
    <w:p w14:paraId="1434B5B0" w14:textId="77777777" w:rsidR="00A05610" w:rsidRPr="005007BA" w:rsidRDefault="00C4118C">
      <w:pPr>
        <w:spacing w:before="60" w:after="60" w:line="380" w:lineRule="auto"/>
        <w:jc w:val="both"/>
      </w:pPr>
      <w:r w:rsidRPr="005007BA">
        <w:rPr>
          <w:rFonts w:eastAsia="Times New Roman"/>
          <w:sz w:val="30"/>
          <w:szCs w:val="30"/>
        </w:rPr>
        <w:t>Romer, P. (1990). Endogenous technological change. Journal of Political Economy, 98(5), S71–S102.</w:t>
      </w:r>
    </w:p>
    <w:p w14:paraId="452ADC0E" w14:textId="77777777" w:rsidR="00A05610" w:rsidRPr="005007BA" w:rsidRDefault="00C4118C">
      <w:pPr>
        <w:spacing w:before="60" w:after="60" w:line="380" w:lineRule="auto"/>
        <w:jc w:val="both"/>
      </w:pPr>
      <w:r w:rsidRPr="005007BA">
        <w:rPr>
          <w:rFonts w:eastAsia="Times New Roman"/>
          <w:sz w:val="30"/>
          <w:szCs w:val="30"/>
        </w:rPr>
        <w:t>Samuelson, P.A. (1966). A summing up. Quarterly Journal of Economics, 80(4), 568–583.</w:t>
      </w:r>
    </w:p>
    <w:p w14:paraId="1848EAFE" w14:textId="77777777" w:rsidR="00A05610" w:rsidRPr="005007BA" w:rsidRDefault="00C4118C">
      <w:pPr>
        <w:spacing w:before="60" w:after="60" w:line="380" w:lineRule="auto"/>
        <w:jc w:val="both"/>
      </w:pPr>
      <w:r w:rsidRPr="005007BA">
        <w:rPr>
          <w:rFonts w:eastAsia="Times New Roman"/>
          <w:sz w:val="30"/>
          <w:szCs w:val="30"/>
        </w:rPr>
        <w:t xml:space="preserve">Sargent, T.J. (2008). Evolution and intelligent design. American Economic </w:t>
      </w:r>
      <w:r w:rsidRPr="005007BA">
        <w:rPr>
          <w:rFonts w:eastAsia="Times New Roman"/>
          <w:sz w:val="30"/>
          <w:szCs w:val="30"/>
        </w:rPr>
        <w:lastRenderedPageBreak/>
        <w:t>Review, 98(1), 5–37.</w:t>
      </w:r>
    </w:p>
    <w:p w14:paraId="406BC6F3" w14:textId="77777777" w:rsidR="00A05610" w:rsidRPr="005007BA" w:rsidRDefault="00C4118C">
      <w:pPr>
        <w:spacing w:before="60" w:after="60" w:line="380" w:lineRule="auto"/>
        <w:jc w:val="both"/>
      </w:pPr>
      <w:r w:rsidRPr="005007BA">
        <w:rPr>
          <w:rFonts w:eastAsia="Times New Roman"/>
          <w:sz w:val="30"/>
          <w:szCs w:val="30"/>
        </w:rPr>
        <w:t>Sims, C.A. (1980). Macroeconomics and reality. Econometrica, 48(1), 1–48.</w:t>
      </w:r>
    </w:p>
    <w:p w14:paraId="01BC265B" w14:textId="77777777" w:rsidR="00A05610" w:rsidRPr="005007BA" w:rsidRDefault="00C4118C">
      <w:pPr>
        <w:spacing w:before="60" w:after="60" w:line="380" w:lineRule="auto"/>
        <w:jc w:val="both"/>
      </w:pPr>
      <w:r w:rsidRPr="005007BA">
        <w:rPr>
          <w:rFonts w:eastAsia="Times New Roman"/>
          <w:sz w:val="30"/>
          <w:szCs w:val="30"/>
        </w:rPr>
        <w:t>Smets, F. and Wouters, R. (2007). Shocks and frictions in US business cycles: A Bayesian DSGE approach. American Economic Review, 97(3), 586–606.</w:t>
      </w:r>
    </w:p>
    <w:p w14:paraId="2A182EE0" w14:textId="77777777" w:rsidR="00A05610" w:rsidRPr="005007BA" w:rsidRDefault="00C4118C">
      <w:pPr>
        <w:spacing w:before="60" w:after="60" w:line="380" w:lineRule="auto"/>
        <w:jc w:val="both"/>
      </w:pPr>
      <w:r w:rsidRPr="005007BA">
        <w:rPr>
          <w:rFonts w:eastAsia="Times New Roman"/>
          <w:sz w:val="30"/>
          <w:szCs w:val="30"/>
        </w:rPr>
        <w:t>Sraffa, P. (1960). Production of Commodities by Means of Commodities. Cambridge University Press.</w:t>
      </w:r>
    </w:p>
    <w:p w14:paraId="7CCB1B98" w14:textId="77777777" w:rsidR="00A05610" w:rsidRPr="005007BA" w:rsidRDefault="00C4118C">
      <w:pPr>
        <w:spacing w:before="60" w:after="60" w:line="380" w:lineRule="auto"/>
        <w:jc w:val="both"/>
      </w:pPr>
      <w:r w:rsidRPr="005007BA">
        <w:rPr>
          <w:rFonts w:eastAsia="Times New Roman"/>
          <w:sz w:val="30"/>
          <w:szCs w:val="30"/>
        </w:rPr>
        <w:t>Stock, J.H. and Watson, M.W. (1993). A simple estimator of cointegrating vectors in higher order integrated systems. Econometrica, 61(4), 783–820.</w:t>
      </w:r>
    </w:p>
    <w:p w14:paraId="16EE8D5C" w14:textId="77777777" w:rsidR="00A05610" w:rsidRPr="005007BA" w:rsidRDefault="00C4118C">
      <w:pPr>
        <w:spacing w:before="60" w:after="60" w:line="380" w:lineRule="auto"/>
        <w:jc w:val="both"/>
      </w:pPr>
      <w:r w:rsidRPr="005007BA">
        <w:rPr>
          <w:rFonts w:eastAsia="Times New Roman"/>
          <w:sz w:val="30"/>
          <w:szCs w:val="30"/>
        </w:rPr>
        <w:t>Tinbergen, J. (1939). Statistical Testing of Business-Cycle Theories. League of Nations.</w:t>
      </w:r>
    </w:p>
    <w:p w14:paraId="58B1AEB4" w14:textId="77777777" w:rsidR="00A05610" w:rsidRPr="005007BA" w:rsidRDefault="00A05610">
      <w:pPr>
        <w:spacing w:before="200" w:after="200"/>
      </w:pPr>
    </w:p>
    <w:p w14:paraId="338816A5" w14:textId="77777777" w:rsidR="00A05610" w:rsidRPr="005007BA" w:rsidRDefault="00C4118C">
      <w:pPr>
        <w:pageBreakBefore/>
        <w:spacing w:before="400" w:after="200"/>
      </w:pPr>
      <w:r w:rsidRPr="005007BA">
        <w:rPr>
          <w:rFonts w:eastAsia="Times New Roman"/>
          <w:b/>
          <w:bCs/>
          <w:sz w:val="34"/>
          <w:szCs w:val="34"/>
        </w:rPr>
        <w:lastRenderedPageBreak/>
        <w:t>APPENDIX A</w:t>
      </w:r>
    </w:p>
    <w:p w14:paraId="06D976F6" w14:textId="77777777" w:rsidR="00A05610" w:rsidRPr="005007BA" w:rsidRDefault="00C4118C">
      <w:pPr>
        <w:spacing w:after="300"/>
      </w:pPr>
      <w:r w:rsidRPr="005007BA">
        <w:rPr>
          <w:rFonts w:eastAsia="Times New Roman"/>
          <w:b/>
          <w:bCs/>
          <w:sz w:val="32"/>
          <w:szCs w:val="32"/>
        </w:rPr>
        <w:t>The GTED Estimation Hierarchy: From OLS to Structural SEM</w:t>
      </w:r>
    </w:p>
    <w:p w14:paraId="5FB565A0" w14:textId="77777777" w:rsidR="00A05610" w:rsidRPr="005007BA" w:rsidRDefault="00C4118C">
      <w:pPr>
        <w:spacing w:before="160" w:after="160" w:line="380" w:lineRule="auto"/>
        <w:jc w:val="both"/>
      </w:pPr>
      <w:r w:rsidRPr="005007BA">
        <w:rPr>
          <w:rFonts w:eastAsia="Times New Roman"/>
          <w:sz w:val="30"/>
          <w:szCs w:val="30"/>
        </w:rPr>
        <w:t>This appendix develops the technical implementation of the GTED structural system as a hierarchy of estimation methods, each addressing a progressively richer set of econometric problems. The hierarchy is designed so that each level both delivers its own results and prepares the ground for the next level.</w:t>
      </w:r>
    </w:p>
    <w:p w14:paraId="4D08960C" w14:textId="77777777" w:rsidR="00A05610" w:rsidRPr="005007BA" w:rsidRDefault="00C4118C">
      <w:pPr>
        <w:spacing w:before="320" w:after="140"/>
      </w:pPr>
      <w:r w:rsidRPr="005007BA">
        <w:rPr>
          <w:rFonts w:eastAsia="Times New Roman"/>
          <w:b/>
          <w:bCs/>
          <w:sz w:val="30"/>
          <w:szCs w:val="30"/>
        </w:rPr>
        <w:t>A.1  Level 1: Pooled OLS — The Baseline</w:t>
      </w:r>
    </w:p>
    <w:p w14:paraId="5D712BEA" w14:textId="77777777" w:rsidR="00A05610" w:rsidRPr="005007BA" w:rsidRDefault="00C4118C">
      <w:pPr>
        <w:spacing w:before="160" w:after="160" w:line="380" w:lineRule="auto"/>
        <w:jc w:val="both"/>
      </w:pPr>
      <w:r w:rsidRPr="005007BA">
        <w:rPr>
          <w:rFonts w:eastAsia="Times New Roman"/>
          <w:sz w:val="30"/>
          <w:szCs w:val="30"/>
        </w:rPr>
        <w:t>The entry point is simple pooled OLS estimation of the GTED production function:</w:t>
      </w:r>
    </w:p>
    <w:p w14:paraId="59AE9CE1" w14:textId="77777777" w:rsidR="00A05610" w:rsidRPr="005007BA" w:rsidRDefault="00C4118C">
      <w:pPr>
        <w:spacing w:before="160" w:after="160"/>
        <w:jc w:val="center"/>
      </w:pPr>
      <w:r w:rsidRPr="005007BA">
        <w:rPr>
          <w:rFonts w:eastAsia="Times New Roman"/>
          <w:sz w:val="28"/>
          <w:szCs w:val="28"/>
        </w:rPr>
        <w:t>yᵢₜ  =  α · CAᵢₜ  +  εᵢₜ        (A.1)</w:t>
      </w:r>
    </w:p>
    <w:p w14:paraId="1AC53AA8" w14:textId="77777777" w:rsidR="00A05610" w:rsidRPr="005007BA" w:rsidRDefault="00C4118C">
      <w:pPr>
        <w:spacing w:before="160" w:after="160" w:line="380" w:lineRule="auto"/>
        <w:jc w:val="both"/>
      </w:pPr>
      <w:r w:rsidRPr="005007BA">
        <w:rPr>
          <w:rFonts w:eastAsia="Times New Roman"/>
          <w:sz w:val="30"/>
          <w:szCs w:val="30"/>
        </w:rPr>
        <w:t>where i indexes countries and t indexes time. Pooled OLS provides the baseline estimate of the CA-output elasticity α under the assumption that α is homogeneous across countries and stable over time. The OLS estimate is consistent under weak exogeneity of CA with respect to y in the short run — defensible given CA’s quarterly measurement cycle against annual output measurement. Pooled OLS establishes the unconditional average relationship before institutional structure is imposed.</w:t>
      </w:r>
    </w:p>
    <w:p w14:paraId="1B680D7C" w14:textId="77777777" w:rsidR="00A05610" w:rsidRPr="005007BA" w:rsidRDefault="00C4118C">
      <w:pPr>
        <w:spacing w:before="320" w:after="140"/>
      </w:pPr>
      <w:r w:rsidRPr="005007BA">
        <w:rPr>
          <w:rFonts w:eastAsia="Times New Roman"/>
          <w:b/>
          <w:bCs/>
          <w:sz w:val="30"/>
          <w:szCs w:val="30"/>
        </w:rPr>
        <w:t>A.2  Level 2: Structural Break Analysis — Regime Identification</w:t>
      </w:r>
    </w:p>
    <w:p w14:paraId="01DA0858" w14:textId="77777777" w:rsidR="00A05610" w:rsidRPr="005007BA" w:rsidRDefault="00C4118C">
      <w:pPr>
        <w:spacing w:before="160" w:after="160" w:line="380" w:lineRule="auto"/>
        <w:jc w:val="both"/>
      </w:pPr>
      <w:r w:rsidRPr="005007BA">
        <w:rPr>
          <w:rFonts w:eastAsia="Times New Roman"/>
          <w:sz w:val="30"/>
          <w:szCs w:val="30"/>
        </w:rPr>
        <w:t>The Lucas Critique demands parameter stability within the estimation sample. The GTED response is not to assume stability but to test for it and identify the subsample boundaries within which stability holds. Two complementary approaches are employed.</w:t>
      </w:r>
    </w:p>
    <w:p w14:paraId="247ED796" w14:textId="77777777" w:rsidR="00A05610" w:rsidRPr="005007BA" w:rsidRDefault="00C4118C">
      <w:pPr>
        <w:spacing w:before="160" w:after="160" w:line="380" w:lineRule="auto"/>
        <w:jc w:val="both"/>
      </w:pPr>
      <w:r w:rsidRPr="005007BA">
        <w:rPr>
          <w:rFonts w:eastAsia="Times New Roman"/>
          <w:sz w:val="30"/>
          <w:szCs w:val="30"/>
        </w:rPr>
        <w:t xml:space="preserve">The Chow (1960) test is used when institutional regime boundaries are </w:t>
      </w:r>
      <w:r w:rsidRPr="005007BA">
        <w:rPr>
          <w:rFonts w:eastAsia="Times New Roman"/>
          <w:sz w:val="30"/>
          <w:szCs w:val="30"/>
        </w:rPr>
        <w:lastRenderedPageBreak/>
        <w:t>known a priori from economic history: Korea’s 1987 democratization, Japan’s 1992 asset price collapse, China’s Deng/Hu/Xi regime transitions. The Chow test evaluates whether α is equal across the candidate subsamples at the proposed break date. Rejection confirms that the institutional event generated a structural shift in the CA-output relationship.</w:t>
      </w:r>
    </w:p>
    <w:p w14:paraId="31215124" w14:textId="77777777" w:rsidR="00A05610" w:rsidRPr="005007BA" w:rsidRDefault="00C4118C">
      <w:pPr>
        <w:spacing w:before="160" w:after="160" w:line="380" w:lineRule="auto"/>
        <w:jc w:val="both"/>
      </w:pPr>
      <w:r w:rsidRPr="005007BA">
        <w:rPr>
          <w:rFonts w:eastAsia="Times New Roman"/>
          <w:sz w:val="30"/>
          <w:szCs w:val="30"/>
        </w:rPr>
        <w:t>For unknown break dates, the Andrews (1993) supremum Wald test and the Bai and Perron (1998, 2003) sequential test for multiple structural breaks are employed. Bai-Perron is particularly important: it simultaneously estimates the number and timing of structural breaks, minimizing the sum of squared residuals across all possible break configurations. The correspondence between data-identified break points and known institutional transitions provides independent validation that θ transitions are empirically identifiable through CA and output dynamics. When the data identify a break at, say, 1987 for Korea, and this coincides with the known institutional transition of democratization, the θ identification strategy is confirmed without requiring prior knowledge of the break date.</w:t>
      </w:r>
    </w:p>
    <w:p w14:paraId="66328CAC" w14:textId="77777777" w:rsidR="00A05610" w:rsidRPr="005007BA" w:rsidRDefault="00C4118C">
      <w:pPr>
        <w:spacing w:before="320" w:after="140"/>
      </w:pPr>
      <w:r w:rsidRPr="005007BA">
        <w:rPr>
          <w:rFonts w:eastAsia="Times New Roman"/>
          <w:b/>
          <w:bCs/>
          <w:sz w:val="30"/>
          <w:szCs w:val="30"/>
        </w:rPr>
        <w:t>A.3  Level 3: Regime-Specific Subsample Estimation</w:t>
      </w:r>
    </w:p>
    <w:p w14:paraId="3C4B7DF9" w14:textId="77777777" w:rsidR="00A05610" w:rsidRPr="005007BA" w:rsidRDefault="00C4118C">
      <w:pPr>
        <w:spacing w:before="160" w:after="160" w:line="380" w:lineRule="auto"/>
        <w:jc w:val="both"/>
      </w:pPr>
      <w:r w:rsidRPr="005007BA">
        <w:rPr>
          <w:rFonts w:eastAsia="Times New Roman"/>
          <w:sz w:val="30"/>
          <w:szCs w:val="30"/>
        </w:rPr>
        <w:t>Within each institutionally identified regime — defined by structural break analysis — separate OLS estimation is conducted. This addresses the Lucas Critique directly: within a regime, θ is approximately stable, so the behavioral parameters governing CA accumulation and output are genuinely structural within the subsample. The standard stability tests (CUSUM, CUSUM-of-squares, recursive coefficient plots) confirm parameter stability within each identified regime.</w:t>
      </w:r>
    </w:p>
    <w:p w14:paraId="372C8AFB" w14:textId="77777777" w:rsidR="00A05610" w:rsidRPr="005007BA" w:rsidRDefault="00C4118C">
      <w:pPr>
        <w:spacing w:before="160" w:after="160" w:line="380" w:lineRule="auto"/>
        <w:jc w:val="both"/>
      </w:pPr>
      <w:r w:rsidRPr="005007BA">
        <w:rPr>
          <w:rFonts w:eastAsia="Times New Roman"/>
          <w:sz w:val="30"/>
          <w:szCs w:val="30"/>
        </w:rPr>
        <w:lastRenderedPageBreak/>
        <w:t>Regime-specific estimation serves two purposes. First, it generates the phase-specific elasticities that characterize the GTED empirical programme: α(phase 1) ≠ α(phase 2) documents the θ transition; α stable within each phase confirms the within-regime structural character of the parameters. Second, the progression of phase-specific α estimates — rising in ED phases, falling in EE phases — provides the time-series identification of θ dynamics that the GTED structural SEM requires.</w:t>
      </w:r>
    </w:p>
    <w:p w14:paraId="42DC8AA3" w14:textId="77777777" w:rsidR="00A05610" w:rsidRPr="005007BA" w:rsidRDefault="00C4118C">
      <w:pPr>
        <w:spacing w:before="320" w:after="140"/>
      </w:pPr>
      <w:r w:rsidRPr="005007BA">
        <w:rPr>
          <w:rFonts w:eastAsia="Times New Roman"/>
          <w:b/>
          <w:bCs/>
          <w:sz w:val="30"/>
          <w:szCs w:val="30"/>
        </w:rPr>
        <w:t>A.4  Level 4: Panel Fixed Effects Estimation</w:t>
      </w:r>
    </w:p>
    <w:p w14:paraId="21BF65AF" w14:textId="77777777" w:rsidR="00A05610" w:rsidRPr="005007BA" w:rsidRDefault="00C4118C">
      <w:pPr>
        <w:spacing w:before="160" w:after="160" w:line="380" w:lineRule="auto"/>
        <w:jc w:val="both"/>
      </w:pPr>
      <w:r w:rsidRPr="005007BA">
        <w:rPr>
          <w:rFonts w:eastAsia="Times New Roman"/>
          <w:sz w:val="30"/>
          <w:szCs w:val="30"/>
        </w:rPr>
        <w:t>Cross-country panel estimation pools data across countries within institutionally similar groups (Nordic, Anglo-Saxon, EU Core, East Asia, Latin America in the cross-group analysis), controlling for unobserved country-specific heterogeneity through fixed effects.</w:t>
      </w:r>
    </w:p>
    <w:p w14:paraId="46ACB594" w14:textId="77777777" w:rsidR="00A05610" w:rsidRPr="005007BA" w:rsidRDefault="00C4118C">
      <w:pPr>
        <w:spacing w:before="160" w:after="160" w:line="380" w:lineRule="auto"/>
        <w:jc w:val="both"/>
      </w:pPr>
      <w:r w:rsidRPr="005007BA">
        <w:rPr>
          <w:rFonts w:eastAsia="Times New Roman"/>
          <w:sz w:val="30"/>
          <w:szCs w:val="30"/>
        </w:rPr>
        <w:t>The within estimator (Mundlak, 1978) eliminates time-invariant country-specific fixed effects uᵢ, estimating:</w:t>
      </w:r>
    </w:p>
    <w:p w14:paraId="6ABEC1C9" w14:textId="77777777" w:rsidR="00A05610" w:rsidRPr="005007BA" w:rsidRDefault="00C4118C">
      <w:pPr>
        <w:spacing w:before="160" w:after="160"/>
        <w:jc w:val="center"/>
      </w:pPr>
      <w:r w:rsidRPr="005007BA">
        <w:rPr>
          <w:rFonts w:eastAsia="Times New Roman"/>
          <w:sz w:val="28"/>
          <w:szCs w:val="28"/>
        </w:rPr>
        <w:t>yᵢₜ  =  α · CAᵢₜ  +  uᵢ  +  εᵢₜ        (A.2)</w:t>
      </w:r>
    </w:p>
    <w:p w14:paraId="331D1FC0" w14:textId="77777777" w:rsidR="00A05610" w:rsidRPr="005007BA" w:rsidRDefault="00C4118C">
      <w:pPr>
        <w:spacing w:before="160" w:after="160" w:line="380" w:lineRule="auto"/>
        <w:jc w:val="both"/>
      </w:pPr>
      <w:r w:rsidRPr="005007BA">
        <w:rPr>
          <w:rFonts w:eastAsia="Times New Roman"/>
          <w:sz w:val="30"/>
          <w:szCs w:val="30"/>
        </w:rPr>
        <w:t>The Hausman (1978) test validates the fixed effects specification over random effects; it is confirmed at p &lt; 0.01 across all country groups in the GTED cross-group analysis, reflecting the importance of institutional heterogeneity across countries.</w:t>
      </w:r>
    </w:p>
    <w:p w14:paraId="7F57D985" w14:textId="77777777" w:rsidR="00A05610" w:rsidRPr="005007BA" w:rsidRDefault="00C4118C">
      <w:pPr>
        <w:spacing w:before="160" w:after="160" w:line="380" w:lineRule="auto"/>
        <w:jc w:val="both"/>
      </w:pPr>
      <w:r w:rsidRPr="005007BA">
        <w:rPr>
          <w:rFonts w:eastAsia="Times New Roman"/>
          <w:sz w:val="30"/>
          <w:szCs w:val="30"/>
        </w:rPr>
        <w:t>Two-way fixed effects extend the within estimator to include time fixed effects λₜ, controlling for common shocks (the Global Financial Crisis, COVID-19, oil price shocks) that affect all countries simultaneously:</w:t>
      </w:r>
    </w:p>
    <w:p w14:paraId="6840BC2C" w14:textId="77777777" w:rsidR="00A05610" w:rsidRPr="005007BA" w:rsidRDefault="00C4118C">
      <w:pPr>
        <w:spacing w:before="160" w:after="160"/>
        <w:jc w:val="center"/>
      </w:pPr>
      <w:r w:rsidRPr="005007BA">
        <w:rPr>
          <w:rFonts w:eastAsia="Times New Roman"/>
          <w:sz w:val="28"/>
          <w:szCs w:val="28"/>
        </w:rPr>
        <w:t>yᵢₜ  =  α · CAᵢₜ  +  uᵢ  +  λₜ  +  εᵢₜ        (A.3)</w:t>
      </w:r>
    </w:p>
    <w:p w14:paraId="167FE3BD" w14:textId="77777777" w:rsidR="00A05610" w:rsidRPr="005007BA" w:rsidRDefault="00C4118C">
      <w:pPr>
        <w:spacing w:before="160" w:after="160" w:line="380" w:lineRule="auto"/>
        <w:jc w:val="both"/>
      </w:pPr>
      <w:r w:rsidRPr="005007BA">
        <w:rPr>
          <w:rFonts w:eastAsia="Times New Roman"/>
          <w:sz w:val="30"/>
          <w:szCs w:val="30"/>
        </w:rPr>
        <w:t xml:space="preserve">Driscoll and Kraay (1998) standard errors correct for three sources of </w:t>
      </w:r>
      <w:r w:rsidRPr="005007BA">
        <w:rPr>
          <w:rFonts w:eastAsia="Times New Roman"/>
          <w:sz w:val="30"/>
          <w:szCs w:val="30"/>
        </w:rPr>
        <w:lastRenderedPageBreak/>
        <w:t>dependence simultaneously: serial correlation within panel units, heteroskedasticity across units, and cross-sectional dependence (correlation across countries in the same period, generated by common institutional trends and synchronized business cycles). Standard clustered standard errors address only the first two; Driscoll-Kraay is required for the full correction in multi-country institutional panels.</w:t>
      </w:r>
    </w:p>
    <w:p w14:paraId="435097E3" w14:textId="77777777" w:rsidR="00A05610" w:rsidRPr="005007BA" w:rsidRDefault="00C4118C">
      <w:pPr>
        <w:spacing w:before="320" w:after="140"/>
      </w:pPr>
      <w:r w:rsidRPr="005007BA">
        <w:rPr>
          <w:rFonts w:eastAsia="Times New Roman"/>
          <w:b/>
          <w:bCs/>
          <w:sz w:val="30"/>
          <w:szCs w:val="30"/>
        </w:rPr>
        <w:t>A.5  Level 5: Long-Run Cointegrating Relationships</w:t>
      </w:r>
    </w:p>
    <w:p w14:paraId="05DFAB39" w14:textId="77777777" w:rsidR="00A05610" w:rsidRPr="005007BA" w:rsidRDefault="00C4118C">
      <w:pPr>
        <w:spacing w:before="160" w:after="160" w:line="380" w:lineRule="auto"/>
        <w:jc w:val="both"/>
      </w:pPr>
      <w:r w:rsidRPr="005007BA">
        <w:rPr>
          <w:rFonts w:eastAsia="Times New Roman"/>
          <w:sz w:val="30"/>
          <w:szCs w:val="30"/>
        </w:rPr>
        <w:t>The production function y = CA</w:t>
      </w:r>
      <w:r w:rsidRPr="005007BA">
        <w:rPr>
          <w:rFonts w:eastAsia="Times New Roman"/>
          <w:sz w:val="30"/>
          <w:szCs w:val="30"/>
          <w:vertAlign w:val="superscript"/>
        </w:rPr>
        <w:t>α</w:t>
      </w:r>
      <w:r w:rsidRPr="005007BA">
        <w:rPr>
          <w:rFonts w:eastAsia="Times New Roman"/>
          <w:sz w:val="30"/>
          <w:szCs w:val="30"/>
        </w:rPr>
        <w:t xml:space="preserve"> is a long-run relationship: both y and CA are I(1) processes in most country samples, and their long-run co-movement defines the structural relationship of interest. Cointegration analysis ensures that estimated elasticities reflect genuine long-run structural relationships rather than spurious correlations.</w:t>
      </w:r>
    </w:p>
    <w:p w14:paraId="70B84F52" w14:textId="77777777" w:rsidR="00A05610" w:rsidRPr="005007BA" w:rsidRDefault="00C4118C">
      <w:pPr>
        <w:spacing w:before="160" w:after="160" w:line="380" w:lineRule="auto"/>
        <w:jc w:val="both"/>
      </w:pPr>
      <w:r w:rsidRPr="005007BA">
        <w:rPr>
          <w:rFonts w:eastAsia="Times New Roman"/>
          <w:sz w:val="30"/>
          <w:szCs w:val="30"/>
        </w:rPr>
        <w:t>The Engle-Granger (1987) two-step procedure tests for cointegration between y and CA at the country level; the Pedroni (2000) panel cointegration tests pool evidence across countries within groups. Fully Modified OLS (FMOLS; Phillips and Hansen, 1990) corrects for the endogeneity and serial correlation that contaminate OLS in cointegrated systems, generating efficient long-run elasticity estimates. Dynamic OLS (DOLS; Stock and Watson, 1993) provides an alternative estimator that augments the cointegrating regression with leads and lags of ΔCA to absorb endogeneity bias. Convergence of FMOLS and DOLS estimates confirms the robustness of the long-run CA-output relationship.</w:t>
      </w:r>
    </w:p>
    <w:p w14:paraId="69C7DDAB" w14:textId="77777777" w:rsidR="00A05610" w:rsidRPr="005007BA" w:rsidRDefault="00C4118C">
      <w:pPr>
        <w:spacing w:before="320" w:after="140"/>
      </w:pPr>
      <w:r w:rsidRPr="005007BA">
        <w:rPr>
          <w:rFonts w:eastAsia="Times New Roman"/>
          <w:b/>
          <w:bCs/>
          <w:sz w:val="30"/>
          <w:szCs w:val="30"/>
        </w:rPr>
        <w:t>A.6  Level 6: Full Simultaneous System Estimation</w:t>
      </w:r>
    </w:p>
    <w:p w14:paraId="338FE414" w14:textId="77777777" w:rsidR="00A05610" w:rsidRPr="005007BA" w:rsidRDefault="00C4118C">
      <w:pPr>
        <w:spacing w:before="160" w:after="160" w:line="380" w:lineRule="auto"/>
        <w:jc w:val="both"/>
      </w:pPr>
      <w:r w:rsidRPr="005007BA">
        <w:rPr>
          <w:rFonts w:eastAsia="Times New Roman"/>
          <w:sz w:val="30"/>
          <w:szCs w:val="30"/>
        </w:rPr>
        <w:t xml:space="preserve">The complete GTED structural system is estimated simultaneously to </w:t>
      </w:r>
      <w:r w:rsidRPr="005007BA">
        <w:rPr>
          <w:rFonts w:eastAsia="Times New Roman"/>
          <w:sz w:val="30"/>
          <w:szCs w:val="30"/>
        </w:rPr>
        <w:lastRenderedPageBreak/>
        <w:t>capture the cross-equation correlations that single-equation estimation misses. The structural system:</w:t>
      </w:r>
    </w:p>
    <w:p w14:paraId="322DAFE1" w14:textId="77777777" w:rsidR="00A05610" w:rsidRPr="005007BA" w:rsidRDefault="00C4118C">
      <w:pPr>
        <w:spacing w:before="160" w:after="160"/>
        <w:jc w:val="center"/>
      </w:pPr>
      <w:r w:rsidRPr="005007BA">
        <w:rPr>
          <w:rFonts w:eastAsia="Times New Roman"/>
          <w:sz w:val="28"/>
          <w:szCs w:val="28"/>
        </w:rPr>
        <w:t>yᵢₜ  =  α CAᵢₜ  +  ε₁ᵢₜ        ((I))</w:t>
      </w:r>
    </w:p>
    <w:p w14:paraId="1DC111B3" w14:textId="77777777" w:rsidR="00A05610" w:rsidRPr="005007BA" w:rsidRDefault="00C4118C">
      <w:pPr>
        <w:spacing w:before="160" w:after="160"/>
        <w:jc w:val="center"/>
      </w:pPr>
      <w:r w:rsidRPr="005007BA">
        <w:rPr>
          <w:rFonts w:eastAsia="Times New Roman"/>
          <w:sz w:val="28"/>
          <w:szCs w:val="28"/>
        </w:rPr>
        <w:t>CAᵢₜ  =  kᵢ Aᵢₜ^γ  +  ε₂ᵢₜ        ((II))</w:t>
      </w:r>
    </w:p>
    <w:p w14:paraId="12D0B408" w14:textId="77777777" w:rsidR="00A05610" w:rsidRPr="005007BA" w:rsidRDefault="00C4118C">
      <w:pPr>
        <w:spacing w:before="160" w:after="160"/>
        <w:jc w:val="center"/>
      </w:pPr>
      <w:r w:rsidRPr="005007BA">
        <w:rPr>
          <w:rFonts w:eastAsia="Times New Roman"/>
          <w:sz w:val="28"/>
          <w:szCs w:val="28"/>
        </w:rPr>
        <w:t>ΔAᵢₜ  =  θᵢ yᵢₜ  −  Aᵢₜ₋₁  +  ε₃ᵢₜ        ((III))</w:t>
      </w:r>
    </w:p>
    <w:p w14:paraId="6B974CA1" w14:textId="77777777" w:rsidR="00A05610" w:rsidRPr="005007BA" w:rsidRDefault="00C4118C">
      <w:pPr>
        <w:spacing w:before="160" w:after="160"/>
        <w:jc w:val="center"/>
      </w:pPr>
      <w:r w:rsidRPr="005007BA">
        <w:rPr>
          <w:rFonts w:eastAsia="Times New Roman"/>
          <w:sz w:val="28"/>
          <w:szCs w:val="28"/>
        </w:rPr>
        <w:t>Mginiᵢₜ  =  β₀  +  β₁ CAᵢₜ  +  β₂ giniratioᵢₜ  +  ε₄ᵢₜ        ((IV))</w:t>
      </w:r>
    </w:p>
    <w:p w14:paraId="26639F65" w14:textId="77777777" w:rsidR="00A05610" w:rsidRPr="005007BA" w:rsidRDefault="00C4118C">
      <w:pPr>
        <w:spacing w:before="160" w:after="160" w:line="380" w:lineRule="auto"/>
        <w:jc w:val="both"/>
      </w:pPr>
      <w:r w:rsidRPr="005007BA">
        <w:rPr>
          <w:rFonts w:eastAsia="Times New Roman"/>
          <w:sz w:val="30"/>
          <w:szCs w:val="30"/>
        </w:rPr>
        <w:t>Three-Stage Least Squares (3SLS) or Full Information Maximum Likelihood (FIML) estimation captures the joint determination of y, CA, A, and Mgini. Identification exploits three sets of restrictions: (i) the Fisher identity constraint α = ROA, recoverable from balance sheet data, providing a theoretically grounded restriction that requires no exclusion; (ii) the institutional θ restriction that θ is constant within identified regimes and shifts at regime boundaries, providing an over-identifying restriction testable by standard specification tests; (iii) the cross-equation restriction that the same α governs equations (I) and (II) through the CA Decomposition Identity, providing additional over-identifying restrictions. Together these restrictions generate a fully identified structural system without relying on the exclusion restrictions that the Lucas Critique showed to be policy-contingent.</w:t>
      </w:r>
    </w:p>
    <w:p w14:paraId="56E6B68A" w14:textId="77777777" w:rsidR="00A05610" w:rsidRPr="005007BA" w:rsidRDefault="00C4118C">
      <w:pPr>
        <w:spacing w:before="320" w:after="140"/>
      </w:pPr>
      <w:r w:rsidRPr="005007BA">
        <w:rPr>
          <w:rFonts w:eastAsia="Times New Roman"/>
          <w:b/>
          <w:bCs/>
          <w:sz w:val="30"/>
          <w:szCs w:val="30"/>
        </w:rPr>
        <w:t>APPENDIX B:  Data Sources and Construction</w:t>
      </w:r>
    </w:p>
    <w:p w14:paraId="6BF5A598" w14:textId="77777777" w:rsidR="00A05610" w:rsidRPr="005007BA" w:rsidRDefault="00C4118C">
      <w:pPr>
        <w:spacing w:before="320" w:after="140"/>
      </w:pPr>
      <w:r w:rsidRPr="005007BA">
        <w:rPr>
          <w:rFonts w:eastAsia="Times New Roman"/>
          <w:b/>
          <w:bCs/>
          <w:sz w:val="30"/>
          <w:szCs w:val="30"/>
        </w:rPr>
        <w:t>B.1  Corporate Assets: Compustat Global</w:t>
      </w:r>
    </w:p>
    <w:p w14:paraId="49DEB3C6" w14:textId="77777777" w:rsidR="00A05610" w:rsidRPr="005007BA" w:rsidRDefault="00C4118C">
      <w:pPr>
        <w:spacing w:before="160" w:after="160" w:line="380" w:lineRule="auto"/>
        <w:jc w:val="both"/>
      </w:pPr>
      <w:r w:rsidRPr="005007BA">
        <w:rPr>
          <w:rFonts w:eastAsia="Times New Roman"/>
          <w:sz w:val="30"/>
          <w:szCs w:val="30"/>
        </w:rPr>
        <w:t xml:space="preserve">Corporate assets (CA) are constructed from Compustat Global (Standard &amp; Poor’s) annual data on total assets (Compustat item AT) for publicly listed corporations. Country-level CA is the sum of total assets across all listed corporations domiciled in each country, expressed as a ratio to GDP for </w:t>
      </w:r>
      <w:r w:rsidRPr="005007BA">
        <w:rPr>
          <w:rFonts w:eastAsia="Times New Roman"/>
          <w:sz w:val="30"/>
          <w:szCs w:val="30"/>
        </w:rPr>
        <w:lastRenderedPageBreak/>
        <w:t>cross-country comparability. Sample coverage: 30+ countries, 1987–2023 (country-specific depending on coverage). Alternative: World Bank Enterprise Survey for non-listed sector coverage in developing economies.</w:t>
      </w:r>
    </w:p>
    <w:p w14:paraId="7FA3A0FF" w14:textId="77777777" w:rsidR="00A05610" w:rsidRPr="005007BA" w:rsidRDefault="00C4118C">
      <w:pPr>
        <w:spacing w:before="320" w:after="140"/>
      </w:pPr>
      <w:r w:rsidRPr="005007BA">
        <w:rPr>
          <w:rFonts w:eastAsia="Times New Roman"/>
          <w:b/>
          <w:bCs/>
          <w:sz w:val="30"/>
          <w:szCs w:val="30"/>
        </w:rPr>
        <w:t>B.2  giniratio: SWIID</w:t>
      </w:r>
    </w:p>
    <w:p w14:paraId="43645052" w14:textId="77777777" w:rsidR="00A05610" w:rsidRPr="005007BA" w:rsidRDefault="00C4118C">
      <w:pPr>
        <w:spacing w:before="160" w:after="160" w:line="380" w:lineRule="auto"/>
        <w:jc w:val="both"/>
      </w:pPr>
      <w:r w:rsidRPr="005007BA">
        <w:rPr>
          <w:rFonts w:eastAsia="Times New Roman"/>
          <w:sz w:val="30"/>
          <w:szCs w:val="30"/>
        </w:rPr>
        <w:t>The giniratio (= Mgini / Dgini) is constructed from the Standardized World Income Inequality Database (SWIID; Solt, 2020), which provides harmonized estimates of market income Gini (Mgini) and disposable income Gini (Dgini) for 190+ countries from 1960 to the present, with multiple imputations for uncertainty. giniratio indexes EE redistribution intensity: higher giniratio signals stronger redistribution relative to market income generation, approximating lower θ.</w:t>
      </w:r>
    </w:p>
    <w:p w14:paraId="7A6A3307" w14:textId="77777777" w:rsidR="00A05610" w:rsidRPr="005007BA" w:rsidRDefault="00C4118C">
      <w:pPr>
        <w:spacing w:before="320" w:after="140"/>
      </w:pPr>
      <w:r w:rsidRPr="005007BA">
        <w:rPr>
          <w:rFonts w:eastAsia="Times New Roman"/>
          <w:b/>
          <w:bCs/>
          <w:sz w:val="30"/>
          <w:szCs w:val="30"/>
        </w:rPr>
        <w:t>B.3  Country Coverage and Group Classification</w:t>
      </w:r>
    </w:p>
    <w:p w14:paraId="57347A32" w14:textId="77777777" w:rsidR="00A05610" w:rsidRPr="005007BA" w:rsidRDefault="00C4118C">
      <w:pPr>
        <w:spacing w:before="160" w:after="160" w:line="380" w:lineRule="auto"/>
        <w:jc w:val="both"/>
      </w:pPr>
      <w:r w:rsidRPr="005007BA">
        <w:rPr>
          <w:rFonts w:eastAsia="Times New Roman"/>
          <w:sz w:val="30"/>
          <w:szCs w:val="30"/>
        </w:rPr>
        <w:t>Cross-group panel: 30 countries in five institutional groups (Nordic: Denmark, Finland, Norway, Sweden; Anglo-Saxon: US, UK, Canada, Australia, New Zealand; EU Core: 10 countries; East Asia: Japan, Korea, China, Singapore, Hong Kong; Latin America: Brazil, Mexico, Chile, Colombia, Peru, Argentina). Country-level time series: Korea (N=52, 1969–2020), Japan (N=34, 1988–2021), US (N=56, 1961–2016), China (N=34, 1989–2022). Output: per capita real GDP from World Bank WDI. Openness: (X+M)/GDP from WDI.</w:t>
      </w:r>
    </w:p>
    <w:p w14:paraId="1340A450" w14:textId="77777777" w:rsidR="00A05610" w:rsidRPr="005007BA" w:rsidRDefault="00C4118C">
      <w:pPr>
        <w:spacing w:before="320" w:after="140"/>
      </w:pPr>
      <w:r w:rsidRPr="005007BA">
        <w:rPr>
          <w:rFonts w:eastAsia="Times New Roman"/>
          <w:b/>
          <w:bCs/>
          <w:sz w:val="30"/>
          <w:szCs w:val="30"/>
        </w:rPr>
        <w:t>APPENDIX C:  Supplementary Empirical Results</w:t>
      </w:r>
    </w:p>
    <w:p w14:paraId="31EC43DD" w14:textId="77777777" w:rsidR="00A05610" w:rsidRPr="005007BA" w:rsidRDefault="00C4118C">
      <w:pPr>
        <w:spacing w:before="320" w:after="140"/>
      </w:pPr>
      <w:r w:rsidRPr="005007BA">
        <w:rPr>
          <w:rFonts w:eastAsia="Times New Roman"/>
          <w:b/>
          <w:bCs/>
          <w:sz w:val="30"/>
          <w:szCs w:val="30"/>
        </w:rPr>
        <w:t>C.1  Japan: Three-Regime Estimation Results (1988–2021)</w:t>
      </w:r>
    </w:p>
    <w:p w14:paraId="4FF454F8" w14:textId="77777777" w:rsidR="00A05610" w:rsidRPr="005007BA" w:rsidRDefault="00C4118C">
      <w:pPr>
        <w:spacing w:before="160" w:after="160" w:line="380" w:lineRule="auto"/>
        <w:jc w:val="both"/>
      </w:pPr>
      <w:r w:rsidRPr="005007BA">
        <w:rPr>
          <w:rFonts w:eastAsia="Times New Roman"/>
          <w:sz w:val="30"/>
          <w:szCs w:val="30"/>
        </w:rPr>
        <w:t xml:space="preserve">FE Within estimator with Driscoll-Kraay standard errors. Hausman test: p &lt; 0.01 (FE confirmed). Structural breaks at 1992 and 2013 (Bai-Perron, </w:t>
      </w:r>
      <w:r w:rsidRPr="005007BA">
        <w:rPr>
          <w:rFonts w:eastAsia="Times New Roman"/>
          <w:sz w:val="30"/>
          <w:szCs w:val="30"/>
        </w:rPr>
        <w:lastRenderedPageBreak/>
        <w:t>confirmed by Chow test). ***p&lt;0.01, **p&lt;0.05, *p&lt;0.10.</w:t>
      </w:r>
    </w:p>
    <w:p w14:paraId="6B6C8635" w14:textId="77777777" w:rsidR="00A05610" w:rsidRPr="005007BA" w:rsidRDefault="00C4118C">
      <w:pPr>
        <w:spacing w:before="60" w:after="60"/>
        <w:ind w:left="480"/>
        <w:jc w:val="both"/>
      </w:pPr>
      <w:r w:rsidRPr="005007BA">
        <w:rPr>
          <w:rFonts w:eastAsia="Times New Roman"/>
          <w:sz w:val="26"/>
          <w:szCs w:val="26"/>
        </w:rPr>
        <w:t>Bubble Era (1988–1991): CA→GDP: +0.229*** (SE 0.041) | CA→Gini: +0.031** (SE 0.014) | N=16 | adj-R²=0.71</w:t>
      </w:r>
    </w:p>
    <w:p w14:paraId="3D659079" w14:textId="77777777" w:rsidR="00A05610" w:rsidRPr="005007BA" w:rsidRDefault="00C4118C">
      <w:pPr>
        <w:spacing w:before="60" w:after="60"/>
        <w:ind w:left="480"/>
        <w:jc w:val="both"/>
      </w:pPr>
      <w:r w:rsidRPr="005007BA">
        <w:rPr>
          <w:rFonts w:eastAsia="Times New Roman"/>
          <w:sz w:val="26"/>
          <w:szCs w:val="26"/>
        </w:rPr>
        <w:t>Lost Decades (1992–2012): CA→GDP: +0.018 n.s. (SE 0.022) | CA→Gini: +0.009 n.s. (SE 0.011) | N=84 | adj-R²=0.23</w:t>
      </w:r>
    </w:p>
    <w:p w14:paraId="7C64371D" w14:textId="77777777" w:rsidR="00A05610" w:rsidRPr="005007BA" w:rsidRDefault="00C4118C">
      <w:pPr>
        <w:spacing w:before="60" w:after="60"/>
        <w:ind w:left="480"/>
        <w:jc w:val="both"/>
      </w:pPr>
      <w:r w:rsidRPr="005007BA">
        <w:rPr>
          <w:rFonts w:eastAsia="Times New Roman"/>
          <w:sz w:val="26"/>
          <w:szCs w:val="26"/>
        </w:rPr>
        <w:t>Abenomics Era (2013–2021): CA→GDP: +0.138*** (SE 0.029) | CA→Gini: +0.043*** (SE 0.012) | N=36 | adj-R²=0.68</w:t>
      </w:r>
    </w:p>
    <w:p w14:paraId="2BA3467A" w14:textId="77777777" w:rsidR="00A05610" w:rsidRPr="005007BA" w:rsidRDefault="00C4118C">
      <w:pPr>
        <w:spacing w:before="60" w:after="60"/>
        <w:ind w:left="480"/>
        <w:jc w:val="both"/>
      </w:pPr>
      <w:r w:rsidRPr="005007BA">
        <w:rPr>
          <w:rFonts w:eastAsia="Times New Roman"/>
          <w:sz w:val="26"/>
          <w:szCs w:val="26"/>
        </w:rPr>
        <w:t>Chow test (1992 break): F=18.4*** | Chow test (2013 break): F=11.7*** | FMOLS long-run α: +0.156*** (SE 0.033)</w:t>
      </w:r>
    </w:p>
    <w:p w14:paraId="31D38260" w14:textId="77777777" w:rsidR="00A05610" w:rsidRPr="005007BA" w:rsidRDefault="00C4118C">
      <w:pPr>
        <w:spacing w:before="320" w:after="140"/>
      </w:pPr>
      <w:r w:rsidRPr="005007BA">
        <w:rPr>
          <w:rFonts w:eastAsia="Times New Roman"/>
          <w:b/>
          <w:bCs/>
          <w:sz w:val="30"/>
          <w:szCs w:val="30"/>
        </w:rPr>
        <w:t>C.2  Korea: Phase Estimation and Structural Break Statistics (1969–2020)</w:t>
      </w:r>
    </w:p>
    <w:p w14:paraId="1A3D5E5D" w14:textId="77777777" w:rsidR="00A05610" w:rsidRPr="005007BA" w:rsidRDefault="00C4118C">
      <w:pPr>
        <w:spacing w:before="60" w:after="60"/>
        <w:ind w:left="480"/>
        <w:jc w:val="both"/>
      </w:pPr>
      <w:r w:rsidRPr="005007BA">
        <w:rPr>
          <w:rFonts w:eastAsia="Times New Roman"/>
          <w:sz w:val="26"/>
          <w:szCs w:val="26"/>
        </w:rPr>
        <w:t>Phase 1 (1969–1979): CA→GDP: +0.312*** | CA→Gini: −0.089*** | Co-prosperity confirmed</w:t>
      </w:r>
    </w:p>
    <w:p w14:paraId="3F59E62F" w14:textId="77777777" w:rsidR="00A05610" w:rsidRPr="005007BA" w:rsidRDefault="00C4118C">
      <w:pPr>
        <w:spacing w:before="60" w:after="60"/>
        <w:ind w:left="480"/>
        <w:jc w:val="both"/>
      </w:pPr>
      <w:r w:rsidRPr="005007BA">
        <w:rPr>
          <w:rFonts w:eastAsia="Times New Roman"/>
          <w:sz w:val="26"/>
          <w:szCs w:val="26"/>
        </w:rPr>
        <w:t>Phase 2 (1980–1996): CA→GDP: +0.198** | CA→Gini: −0.031* | Co-prosperity weakening</w:t>
      </w:r>
    </w:p>
    <w:p w14:paraId="76E06F17" w14:textId="77777777" w:rsidR="00A05610" w:rsidRPr="005007BA" w:rsidRDefault="00C4118C">
      <w:pPr>
        <w:spacing w:before="60" w:after="60"/>
        <w:ind w:left="480"/>
        <w:jc w:val="both"/>
      </w:pPr>
      <w:r w:rsidRPr="005007BA">
        <w:rPr>
          <w:rFonts w:eastAsia="Times New Roman"/>
          <w:sz w:val="26"/>
          <w:szCs w:val="26"/>
        </w:rPr>
        <w:t>Phase 3 (1997–2010): CA→GDP: +0.143** | CA→Gini: +0.019 n.s. | Transition to stagnation</w:t>
      </w:r>
    </w:p>
    <w:p w14:paraId="1B12B347" w14:textId="77777777" w:rsidR="00A05610" w:rsidRPr="005007BA" w:rsidRDefault="00C4118C">
      <w:pPr>
        <w:spacing w:before="60" w:after="60"/>
        <w:ind w:left="480"/>
        <w:jc w:val="both"/>
      </w:pPr>
      <w:r w:rsidRPr="005007BA">
        <w:rPr>
          <w:rFonts w:eastAsia="Times New Roman"/>
          <w:sz w:val="26"/>
          <w:szCs w:val="26"/>
        </w:rPr>
        <w:t>Phase 4 (2011–2020): CA→GDP intercept: −9.227*** | Gini intercept: +6.792*** | Polarized stagnation</w:t>
      </w:r>
    </w:p>
    <w:p w14:paraId="37747041" w14:textId="77777777" w:rsidR="00A05610" w:rsidRPr="005007BA" w:rsidRDefault="00C4118C">
      <w:pPr>
        <w:spacing w:before="60" w:after="60"/>
        <w:ind w:left="480"/>
        <w:jc w:val="both"/>
      </w:pPr>
      <w:r w:rsidRPr="005007BA">
        <w:rPr>
          <w:rFonts w:eastAsia="Times New Roman"/>
          <w:sz w:val="26"/>
          <w:szCs w:val="26"/>
        </w:rPr>
        <w:t>Chow test (1987 break): F=24.6*** | Bai-Perron optimal breaks: 1979, 1997, 2010</w:t>
      </w:r>
    </w:p>
    <w:p w14:paraId="09032FB4" w14:textId="77777777" w:rsidR="00A05610" w:rsidRPr="005007BA" w:rsidRDefault="00C4118C">
      <w:pPr>
        <w:spacing w:before="320" w:after="140"/>
      </w:pPr>
      <w:r w:rsidRPr="005007BA">
        <w:rPr>
          <w:rFonts w:eastAsia="Times New Roman"/>
          <w:b/>
          <w:bCs/>
          <w:sz w:val="30"/>
          <w:szCs w:val="30"/>
        </w:rPr>
        <w:t>C.3  Nordic Cross-Group Panel Results (1987–2023)</w:t>
      </w:r>
    </w:p>
    <w:p w14:paraId="5A49C7CF" w14:textId="77777777" w:rsidR="00A05610" w:rsidRPr="005007BA" w:rsidRDefault="00C4118C">
      <w:pPr>
        <w:spacing w:before="60" w:after="60"/>
        <w:ind w:left="480"/>
        <w:jc w:val="both"/>
      </w:pPr>
      <w:r w:rsidRPr="005007BA">
        <w:rPr>
          <w:rFonts w:eastAsia="Times New Roman"/>
          <w:sz w:val="26"/>
          <w:szCs w:val="26"/>
        </w:rPr>
        <w:t>Phase 1 (1987–1997): CA→GDP: +0.193*** | EE→GDP: −0.412 n.s. | giniratio mean: 1.72</w:t>
      </w:r>
    </w:p>
    <w:p w14:paraId="5B832B9C" w14:textId="77777777" w:rsidR="00A05610" w:rsidRPr="005007BA" w:rsidRDefault="00C4118C">
      <w:pPr>
        <w:spacing w:before="60" w:after="60"/>
        <w:ind w:left="480"/>
        <w:jc w:val="both"/>
      </w:pPr>
      <w:r w:rsidRPr="005007BA">
        <w:rPr>
          <w:rFonts w:eastAsia="Times New Roman"/>
          <w:sz w:val="26"/>
          <w:szCs w:val="26"/>
        </w:rPr>
        <w:t>Phase 2 (1998–2006): CA→GDP: +0.048 n.s. | EE→GDP: −1.167*** | giniratio mean: 1.81</w:t>
      </w:r>
    </w:p>
    <w:p w14:paraId="522CF097" w14:textId="77777777" w:rsidR="00A05610" w:rsidRPr="005007BA" w:rsidRDefault="00C4118C">
      <w:pPr>
        <w:spacing w:before="60" w:after="60"/>
        <w:ind w:left="480"/>
        <w:jc w:val="both"/>
      </w:pPr>
      <w:r w:rsidRPr="005007BA">
        <w:rPr>
          <w:rFonts w:eastAsia="Times New Roman"/>
          <w:sz w:val="26"/>
          <w:szCs w:val="26"/>
        </w:rPr>
        <w:t>Phase 3 (2007–2023): CA→GDP: +0.031 n.s. | EE→GDP: −0.934** | giniratio mean: 1.88</w:t>
      </w:r>
    </w:p>
    <w:p w14:paraId="2116A06E" w14:textId="77777777" w:rsidR="00A05610" w:rsidRPr="005007BA" w:rsidRDefault="00C4118C">
      <w:pPr>
        <w:spacing w:before="60" w:after="60"/>
        <w:ind w:left="480"/>
        <w:jc w:val="both"/>
      </w:pPr>
      <w:r w:rsidRPr="005007BA">
        <w:rPr>
          <w:rFonts w:eastAsia="Times New Roman"/>
          <w:sz w:val="26"/>
          <w:szCs w:val="26"/>
        </w:rPr>
        <w:t>Driscoll-Kraay SE throughout. FMOLS cointegration: 50% of country pairs. Hausman p&lt;0.01 (FE confirmed).</w:t>
      </w:r>
    </w:p>
    <w:sectPr w:rsidR="00A05610" w:rsidRPr="005007BA">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6A321" w14:textId="77777777" w:rsidR="00D73BDF" w:rsidRDefault="00D73BDF" w:rsidP="00082757">
      <w:r>
        <w:separator/>
      </w:r>
    </w:p>
  </w:endnote>
  <w:endnote w:type="continuationSeparator" w:id="0">
    <w:p w14:paraId="4C1E780F" w14:textId="77777777" w:rsidR="00D73BDF" w:rsidRDefault="00D73BDF" w:rsidP="00082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4C0B6" w14:textId="77777777" w:rsidR="00D73BDF" w:rsidRDefault="00D73BDF" w:rsidP="00082757">
      <w:r>
        <w:separator/>
      </w:r>
    </w:p>
  </w:footnote>
  <w:footnote w:type="continuationSeparator" w:id="0">
    <w:p w14:paraId="02F3F332" w14:textId="77777777" w:rsidR="00D73BDF" w:rsidRDefault="00D73BDF" w:rsidP="000827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A2521"/>
    <w:multiLevelType w:val="hybridMultilevel"/>
    <w:tmpl w:val="12721242"/>
    <w:lvl w:ilvl="0" w:tplc="AB80E9CC">
      <w:start w:val="1"/>
      <w:numFmt w:val="bullet"/>
      <w:lvlText w:val="●"/>
      <w:lvlJc w:val="left"/>
      <w:pPr>
        <w:ind w:left="720" w:hanging="360"/>
      </w:pPr>
    </w:lvl>
    <w:lvl w:ilvl="1" w:tplc="F2F2B924">
      <w:start w:val="1"/>
      <w:numFmt w:val="bullet"/>
      <w:lvlText w:val="○"/>
      <w:lvlJc w:val="left"/>
      <w:pPr>
        <w:ind w:left="1440" w:hanging="360"/>
      </w:pPr>
    </w:lvl>
    <w:lvl w:ilvl="2" w:tplc="1BC0EEC2">
      <w:start w:val="1"/>
      <w:numFmt w:val="bullet"/>
      <w:lvlText w:val="■"/>
      <w:lvlJc w:val="left"/>
      <w:pPr>
        <w:ind w:left="2160" w:hanging="360"/>
      </w:pPr>
    </w:lvl>
    <w:lvl w:ilvl="3" w:tplc="4502E38C">
      <w:start w:val="1"/>
      <w:numFmt w:val="bullet"/>
      <w:lvlText w:val="●"/>
      <w:lvlJc w:val="left"/>
      <w:pPr>
        <w:ind w:left="2880" w:hanging="360"/>
      </w:pPr>
    </w:lvl>
    <w:lvl w:ilvl="4" w:tplc="374A9B04">
      <w:start w:val="1"/>
      <w:numFmt w:val="bullet"/>
      <w:lvlText w:val="○"/>
      <w:lvlJc w:val="left"/>
      <w:pPr>
        <w:ind w:left="3600" w:hanging="360"/>
      </w:pPr>
    </w:lvl>
    <w:lvl w:ilvl="5" w:tplc="6C08CABA">
      <w:start w:val="1"/>
      <w:numFmt w:val="bullet"/>
      <w:lvlText w:val="■"/>
      <w:lvlJc w:val="left"/>
      <w:pPr>
        <w:ind w:left="4320" w:hanging="360"/>
      </w:pPr>
    </w:lvl>
    <w:lvl w:ilvl="6" w:tplc="D33EA9D8">
      <w:start w:val="1"/>
      <w:numFmt w:val="bullet"/>
      <w:lvlText w:val="●"/>
      <w:lvlJc w:val="left"/>
      <w:pPr>
        <w:ind w:left="5040" w:hanging="360"/>
      </w:pPr>
    </w:lvl>
    <w:lvl w:ilvl="7" w:tplc="53205F10">
      <w:start w:val="1"/>
      <w:numFmt w:val="bullet"/>
      <w:lvlText w:val="●"/>
      <w:lvlJc w:val="left"/>
      <w:pPr>
        <w:ind w:left="5760" w:hanging="360"/>
      </w:pPr>
    </w:lvl>
    <w:lvl w:ilvl="8" w:tplc="665AE3F4">
      <w:start w:val="1"/>
      <w:numFmt w:val="bullet"/>
      <w:lvlText w:val="●"/>
      <w:lvlJc w:val="left"/>
      <w:pPr>
        <w:ind w:left="6480" w:hanging="360"/>
      </w:pPr>
    </w:lvl>
  </w:abstractNum>
  <w:num w:numId="1" w16cid:durableId="190201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610"/>
    <w:rsid w:val="00082757"/>
    <w:rsid w:val="002C4338"/>
    <w:rsid w:val="00437898"/>
    <w:rsid w:val="00446663"/>
    <w:rsid w:val="005007BA"/>
    <w:rsid w:val="009F5046"/>
    <w:rsid w:val="00A05610"/>
    <w:rsid w:val="00A62613"/>
    <w:rsid w:val="00AC68A4"/>
    <w:rsid w:val="00C4118C"/>
    <w:rsid w:val="00D05206"/>
    <w:rsid w:val="00D73BDF"/>
    <w:rsid w:val="00DD2323"/>
    <w:rsid w:val="00FB4C4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A1055"/>
  <w15:docId w15:val="{2FF8D4D7-CFF3-4270-8A49-E678A478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082757"/>
    <w:pPr>
      <w:tabs>
        <w:tab w:val="center" w:pos="4513"/>
        <w:tab w:val="right" w:pos="9026"/>
      </w:tabs>
      <w:snapToGrid w:val="0"/>
    </w:pPr>
  </w:style>
  <w:style w:type="character" w:customStyle="1" w:styleId="Char1">
    <w:name w:val="머리글 Char"/>
    <w:basedOn w:val="a0"/>
    <w:link w:val="aa"/>
    <w:uiPriority w:val="99"/>
    <w:rsid w:val="00082757"/>
  </w:style>
  <w:style w:type="paragraph" w:styleId="ab">
    <w:name w:val="footer"/>
    <w:basedOn w:val="a"/>
    <w:link w:val="Char2"/>
    <w:uiPriority w:val="99"/>
    <w:unhideWhenUsed/>
    <w:rsid w:val="00082757"/>
    <w:pPr>
      <w:tabs>
        <w:tab w:val="center" w:pos="4513"/>
        <w:tab w:val="right" w:pos="9026"/>
      </w:tabs>
      <w:snapToGrid w:val="0"/>
    </w:pPr>
  </w:style>
  <w:style w:type="character" w:customStyle="1" w:styleId="Char2">
    <w:name w:val="바닥글 Char"/>
    <w:basedOn w:val="a0"/>
    <w:link w:val="ab"/>
    <w:uiPriority w:val="99"/>
    <w:rsid w:val="00082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39</Pages>
  <Words>9234</Words>
  <Characters>52637</Characters>
  <Application>Microsoft Office Word</Application>
  <DocSecurity>0</DocSecurity>
  <Lines>438</Lines>
  <Paragraphs>123</Paragraphs>
  <ScaleCrop>false</ScaleCrop>
  <Company/>
  <LinksUpToDate>false</LinksUpToDate>
  <CharactersWithSpaces>61748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좌 승희</cp:lastModifiedBy>
  <cp:revision>4</cp:revision>
  <dcterms:created xsi:type="dcterms:W3CDTF">2026-07-16T13:13:00Z</dcterms:created>
  <dcterms:modified xsi:type="dcterms:W3CDTF">2026-07-16T13:17:00Z</dcterms:modified>
</cp:coreProperties>
</file>