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D2A524" w14:textId="77777777" w:rsidR="006D4392" w:rsidRPr="00AD0FF4" w:rsidRDefault="00683A75" w:rsidP="00AD0FF4">
      <w:pPr>
        <w:spacing w:after="200" w:line="360" w:lineRule="auto"/>
        <w:jc w:val="both"/>
      </w:pPr>
      <w:r w:rsidRPr="00AD0FF4">
        <w:rPr>
          <w:rFonts w:eastAsia="Times New Roman"/>
          <w:b/>
          <w:bCs/>
          <w:sz w:val="36"/>
          <w:szCs w:val="36"/>
        </w:rPr>
        <w:t>Japanese Growth and Distribution:</w:t>
      </w:r>
    </w:p>
    <w:p w14:paraId="7A1621FA" w14:textId="77777777" w:rsidR="006D4392" w:rsidRPr="00AD0FF4" w:rsidRDefault="00683A75" w:rsidP="00AD0FF4">
      <w:pPr>
        <w:spacing w:after="200" w:line="360" w:lineRule="auto"/>
        <w:jc w:val="both"/>
      </w:pPr>
      <w:r w:rsidRPr="00AD0FF4">
        <w:rPr>
          <w:rFonts w:eastAsia="Times New Roman"/>
          <w:b/>
          <w:bCs/>
          <w:sz w:val="36"/>
          <w:szCs w:val="36"/>
        </w:rPr>
        <w:t>A Corporate Economy Perspective</w:t>
      </w:r>
    </w:p>
    <w:p w14:paraId="3E227419" w14:textId="77777777" w:rsidR="006D4392" w:rsidRPr="00AD0FF4" w:rsidRDefault="006D4392" w:rsidP="00AD0FF4">
      <w:pPr>
        <w:spacing w:after="200" w:line="360" w:lineRule="auto"/>
        <w:jc w:val="both"/>
      </w:pPr>
    </w:p>
    <w:p w14:paraId="4ACCBBB9" w14:textId="77777777" w:rsidR="006D4392" w:rsidRPr="00AD0FF4" w:rsidRDefault="00683A75" w:rsidP="00AD0FF4">
      <w:pPr>
        <w:spacing w:after="200" w:line="360" w:lineRule="auto"/>
        <w:jc w:val="both"/>
      </w:pPr>
      <w:r w:rsidRPr="00AD0FF4">
        <w:rPr>
          <w:rFonts w:eastAsia="Times New Roman"/>
          <w:sz w:val="26"/>
          <w:szCs w:val="26"/>
        </w:rPr>
        <w:t>Sung-Hee Jwa*</w:t>
      </w:r>
    </w:p>
    <w:p w14:paraId="2B4A7D7A" w14:textId="77777777" w:rsidR="006D4392" w:rsidRPr="00AD0FF4" w:rsidRDefault="006D4392" w:rsidP="00AD0FF4">
      <w:pPr>
        <w:spacing w:after="200" w:line="360" w:lineRule="auto"/>
        <w:jc w:val="both"/>
      </w:pPr>
    </w:p>
    <w:p w14:paraId="63BC7FEB" w14:textId="77777777" w:rsidR="006D4392" w:rsidRPr="00AD0FF4" w:rsidRDefault="00683A75" w:rsidP="00AD0FF4">
      <w:pPr>
        <w:spacing w:after="200" w:line="360" w:lineRule="auto"/>
        <w:jc w:val="both"/>
      </w:pPr>
      <w:r w:rsidRPr="00AD0FF4">
        <w:rPr>
          <w:rFonts w:eastAsia="Times New Roman"/>
          <w:sz w:val="22"/>
          <w:szCs w:val="22"/>
        </w:rPr>
        <w:t>Visiting Professor of Economics</w:t>
      </w:r>
    </w:p>
    <w:p w14:paraId="518448F7" w14:textId="77777777" w:rsidR="006D4392" w:rsidRPr="00AD0FF4" w:rsidRDefault="00683A75" w:rsidP="00AD0FF4">
      <w:pPr>
        <w:spacing w:after="200" w:line="360" w:lineRule="auto"/>
        <w:jc w:val="both"/>
      </w:pPr>
      <w:r w:rsidRPr="00AD0FF4">
        <w:rPr>
          <w:rFonts w:eastAsia="Times New Roman"/>
          <w:sz w:val="22"/>
          <w:szCs w:val="22"/>
        </w:rPr>
        <w:t>Graduate School of International Studies, Ajou University</w:t>
      </w:r>
    </w:p>
    <w:p w14:paraId="5AF00977" w14:textId="77777777" w:rsidR="006D4392" w:rsidRPr="00AD0FF4" w:rsidRDefault="00683A75" w:rsidP="00AD0FF4">
      <w:pPr>
        <w:spacing w:after="200" w:line="360" w:lineRule="auto"/>
        <w:jc w:val="both"/>
      </w:pPr>
      <w:r w:rsidRPr="00AD0FF4">
        <w:rPr>
          <w:rFonts w:eastAsia="Times New Roman"/>
          <w:sz w:val="22"/>
          <w:szCs w:val="22"/>
        </w:rPr>
        <w:t>jwa4746@naver.com</w:t>
      </w:r>
    </w:p>
    <w:p w14:paraId="45A7FCFC" w14:textId="77777777" w:rsidR="006D4392" w:rsidRPr="00AD0FF4" w:rsidRDefault="006D4392" w:rsidP="00AD0FF4">
      <w:pPr>
        <w:spacing w:after="200" w:line="360" w:lineRule="auto"/>
        <w:jc w:val="both"/>
      </w:pPr>
    </w:p>
    <w:p w14:paraId="58A138D2" w14:textId="77777777" w:rsidR="006D4392" w:rsidRPr="00AD0FF4" w:rsidRDefault="00683A75" w:rsidP="00AD0FF4">
      <w:pPr>
        <w:spacing w:after="200" w:line="360" w:lineRule="auto"/>
        <w:jc w:val="both"/>
      </w:pPr>
      <w:r w:rsidRPr="00AD0FF4">
        <w:rPr>
          <w:rFonts w:eastAsia="Times New Roman"/>
          <w:sz w:val="22"/>
          <w:szCs w:val="22"/>
        </w:rPr>
        <w:t>June 2026</w:t>
      </w:r>
    </w:p>
    <w:p w14:paraId="3C0DB1FF" w14:textId="77777777" w:rsidR="006D4392" w:rsidRPr="00AD0FF4" w:rsidRDefault="006D4392" w:rsidP="00AD0FF4">
      <w:pPr>
        <w:spacing w:after="200" w:line="360" w:lineRule="auto"/>
        <w:jc w:val="both"/>
      </w:pPr>
    </w:p>
    <w:p w14:paraId="74725814" w14:textId="77777777" w:rsidR="006D4392" w:rsidRPr="00AD0FF4" w:rsidRDefault="00683A75" w:rsidP="00AD0FF4">
      <w:pPr>
        <w:pStyle w:val="1"/>
        <w:spacing w:before="400" w:after="200" w:line="360" w:lineRule="auto"/>
        <w:jc w:val="both"/>
      </w:pPr>
      <w:r w:rsidRPr="00AD0FF4">
        <w:rPr>
          <w:rFonts w:eastAsia="Times New Roman"/>
          <w:b/>
          <w:bCs/>
          <w:sz w:val="28"/>
          <w:szCs w:val="28"/>
        </w:rPr>
        <w:t>Abstract</w:t>
      </w:r>
    </w:p>
    <w:p w14:paraId="61A9EC4D" w14:textId="77777777" w:rsidR="006D4392" w:rsidRPr="00AD0FF4" w:rsidRDefault="00683A75" w:rsidP="00AD0FF4">
      <w:pPr>
        <w:spacing w:after="200" w:line="360" w:lineRule="auto"/>
        <w:jc w:val="both"/>
      </w:pPr>
      <w:r w:rsidRPr="00AD0FF4">
        <w:t xml:space="preserve">Japan presents development economics with its most complete institutional experiment: one century of Economic Differentiation (ED — the principle of rewarding performance differentially through markets, corporations, and government policy) All In from the Meiji Restoration of 1868, followed by an equally deliberate shift to Economic Egalitarianism (EE — the principle of distributing resources by equality mandate regardless of performance) All In beginning in 1968 — precisely when Japan became the world’s second-largest economy. By 1968, Japan’s performance-based industrial policy and selective privatization had produced the most successful catching-up development in modern history. Japan then went All In on EE: balanced regional development, lifetime employment, welfare state expansion, and anti-competitive regulation severed the performance-reward linkage that had powered the miracle. This paper applies the General Theory of Economic Development (GTED) to confirm this diagnosis empirically across three post-bubble regimes (N=34, 1988–2021). Corporate asset (CA) elasticity of growth collapses from 0.229*** </w:t>
      </w:r>
      <w:r w:rsidRPr="00AD0FF4">
        <w:lastRenderedPageBreak/>
        <w:t>in the Bubble Era to a statistically insignificant 0.018 in the Lost Decades. Abenomics partially restores CA’s growth role (0.138***) but fails to achieve co-prosperity — CA growth widens rather than compresses inequality (+0.043***), in striking contrast to China’s Xi phase (−0.038***). Japan’s century-long experiment confirms GTED’s universal law: EE accumulation generates polarized stagnation regardless of prior success, and no monetary stimulus can substitute for the institutional restoration of ED.</w:t>
      </w:r>
    </w:p>
    <w:p w14:paraId="4EDB3BAF" w14:textId="77777777" w:rsidR="006D4392" w:rsidRPr="00AD0FF4" w:rsidRDefault="006D4392" w:rsidP="00AD0FF4">
      <w:pPr>
        <w:spacing w:after="200" w:line="360" w:lineRule="auto"/>
        <w:jc w:val="both"/>
      </w:pPr>
    </w:p>
    <w:p w14:paraId="4B8D9020" w14:textId="77777777" w:rsidR="006D4392" w:rsidRPr="00AD0FF4" w:rsidRDefault="00683A75" w:rsidP="00AD0FF4">
      <w:pPr>
        <w:spacing w:after="200" w:line="360" w:lineRule="auto"/>
        <w:jc w:val="both"/>
      </w:pPr>
      <w:r w:rsidRPr="00AD0FF4">
        <w:rPr>
          <w:rFonts w:eastAsia="Times New Roman"/>
          <w:b/>
          <w:bCs/>
        </w:rPr>
        <w:t xml:space="preserve">Keywords: </w:t>
      </w:r>
      <w:r w:rsidRPr="00AD0FF4">
        <w:rPr>
          <w:rFonts w:eastAsia="Times New Roman"/>
        </w:rPr>
        <w:t>Economic Differentiation; Economic Egalitarianism; Lost Decades; Corporate Economy; Japan; General Theory of Economic Development; Abenomics</w:t>
      </w:r>
    </w:p>
    <w:p w14:paraId="10DEF684" w14:textId="77777777" w:rsidR="006D4392" w:rsidRPr="00AD0FF4" w:rsidRDefault="00683A75" w:rsidP="00AD0FF4">
      <w:pPr>
        <w:spacing w:after="200" w:line="360" w:lineRule="auto"/>
        <w:jc w:val="both"/>
      </w:pPr>
      <w:r w:rsidRPr="00AD0FF4">
        <w:rPr>
          <w:rFonts w:eastAsia="Times New Roman"/>
          <w:b/>
          <w:bCs/>
        </w:rPr>
        <w:t xml:space="preserve">JEL Codes: </w:t>
      </w:r>
      <w:r w:rsidRPr="00AD0FF4">
        <w:rPr>
          <w:rFonts w:eastAsia="Times New Roman"/>
        </w:rPr>
        <w:t>O11, O43, P16, C22, D31, O53</w:t>
      </w:r>
    </w:p>
    <w:p w14:paraId="54A3E617" w14:textId="77777777" w:rsidR="006D4392" w:rsidRPr="00AD0FF4" w:rsidRDefault="006D4392" w:rsidP="00AD0FF4">
      <w:pPr>
        <w:spacing w:after="200" w:line="360" w:lineRule="auto"/>
        <w:jc w:val="both"/>
      </w:pPr>
    </w:p>
    <w:p w14:paraId="2EBEECC7" w14:textId="77777777" w:rsidR="006D4392" w:rsidRPr="00AD0FF4" w:rsidRDefault="00683A75" w:rsidP="00AD0FF4">
      <w:pPr>
        <w:spacing w:after="200" w:line="360" w:lineRule="auto"/>
        <w:jc w:val="both"/>
      </w:pPr>
      <w:r w:rsidRPr="00AD0FF4">
        <w:rPr>
          <w:rFonts w:eastAsia="Times New Roman"/>
          <w:sz w:val="20"/>
          <w:szCs w:val="20"/>
        </w:rPr>
        <w:t>*Acknowledgments: The author gratefully acknowledges the foundational contributions of Meiji-era institutional architects whose performance-based industrial policy demonstrated centuries before GTED was formalized that corporate-led Economic Differentiation is the universal path to development. The author also acknowledges with admiration and concern the Japanese people's extraordinary capacity for institutional discipline, which sustained development for a century and whose restoration remains the key to escaping the Lost Decades.</w:t>
      </w:r>
    </w:p>
    <w:p w14:paraId="6D8E61C3" w14:textId="77777777" w:rsidR="006D4392" w:rsidRPr="00AD0FF4" w:rsidRDefault="006D4392" w:rsidP="00AD0FF4">
      <w:pPr>
        <w:spacing w:after="200" w:line="360" w:lineRule="auto"/>
        <w:jc w:val="both"/>
      </w:pPr>
    </w:p>
    <w:p w14:paraId="0A495D05" w14:textId="77777777" w:rsidR="006D4392" w:rsidRPr="00AD0FF4" w:rsidRDefault="00683A75" w:rsidP="00AD0FF4">
      <w:pPr>
        <w:pStyle w:val="1"/>
        <w:spacing w:before="400" w:after="200" w:line="360" w:lineRule="auto"/>
        <w:jc w:val="both"/>
      </w:pPr>
      <w:r w:rsidRPr="00AD0FF4">
        <w:rPr>
          <w:rFonts w:eastAsia="Times New Roman"/>
          <w:b/>
          <w:bCs/>
          <w:sz w:val="28"/>
          <w:szCs w:val="28"/>
        </w:rPr>
        <w:t>1. Introduction</w:t>
      </w:r>
    </w:p>
    <w:p w14:paraId="3B8240F0" w14:textId="77777777" w:rsidR="006D4392" w:rsidRPr="00AD0FF4" w:rsidRDefault="00683A75" w:rsidP="00AD0FF4">
      <w:pPr>
        <w:spacing w:after="200" w:line="360" w:lineRule="auto"/>
        <w:jc w:val="both"/>
      </w:pPr>
      <w:r w:rsidRPr="00AD0FF4">
        <w:rPr>
          <w:rFonts w:eastAsia="Times New Roman"/>
        </w:rPr>
        <w:t>Japan presents development economics with its most complete institutional experiment. No other economy has demonstrated, within a single national history, both the power of corporate-led Economic Differentiation to generate sustained growth and the destructive capacity of Economic Egalitarianism to terminate it. From the Meiji Restoration of 1868 through the bubble peak of 1991, Japan built the most successful catching-up corporate economy in history. From 1992 to the present, it has demonstrated with equal clarity what happens when EE institutions progressively displace the ED mechanisms that made development possible.</w:t>
      </w:r>
    </w:p>
    <w:p w14:paraId="0F0212E7" w14:textId="77777777" w:rsidR="006D4392" w:rsidRPr="00AD0FF4" w:rsidRDefault="00683A75" w:rsidP="00AD0FF4">
      <w:pPr>
        <w:spacing w:after="200" w:line="360" w:lineRule="auto"/>
        <w:jc w:val="both"/>
      </w:pPr>
      <w:r w:rsidRPr="00AD0FF4">
        <w:rPr>
          <w:rFonts w:eastAsia="Times New Roman"/>
        </w:rPr>
        <w:t xml:space="preserve">The standard accounts of Japan's Lost Decades are numerous and well-known. Financial fragility and non-performing loans after the bubble burst (Hoshi and Kashyap, 2004). Deflationary </w:t>
      </w:r>
      <w:r w:rsidRPr="00AD0FF4">
        <w:rPr>
          <w:rFonts w:eastAsia="Times New Roman"/>
        </w:rPr>
        <w:lastRenderedPageBreak/>
        <w:t>expectations and the liquidity trap (Krugman, 1998). Demographic headwinds reducing potential growth (Hayashi and Prescott, 2002). Zombie firms sustained by bank forbearance preventing creative destruction (Caballero, Hoshi, and Kashyap, 2008). Each of these accounts identifies a real symptom. None identifies the institutional root cause.</w:t>
      </w:r>
    </w:p>
    <w:p w14:paraId="5D9BE7FB" w14:textId="77777777" w:rsidR="006D4392" w:rsidRPr="00AD0FF4" w:rsidRDefault="00683A75" w:rsidP="00AD0FF4">
      <w:pPr>
        <w:spacing w:after="200" w:line="360" w:lineRule="auto"/>
        <w:jc w:val="both"/>
      </w:pPr>
      <w:r w:rsidRPr="00AD0FF4">
        <w:rPr>
          <w:rFonts w:eastAsia="Times New Roman"/>
        </w:rPr>
        <w:t>The General Theory of Economic Development (GTED; Jwa, 2017) offers a different and more fundamental diagnosis. Japan's Lost Decades are not primarily a financial crisis, a demographic transition, or a technology slowdown. They are the institutional consequence of a progressive shift from ED to EE — a shift that began in the 1970s as Japan's democratic politics matured, accelerated in the 1980s welfare state expansion, and became structurally entrenched after the bubble collapse provided political cover for an unprecedented expansion of EE redistribution. The result is what GTED calls the Economic Egalitarianism Trap (EET) — the universal tendency of EE accumulation to generate polarized stagnation regardless of prior developmental success.</w:t>
      </w:r>
    </w:p>
    <w:p w14:paraId="411F6DA3" w14:textId="77777777" w:rsidR="006D4392" w:rsidRPr="00AD0FF4" w:rsidRDefault="00683A75" w:rsidP="00AD0FF4">
      <w:pPr>
        <w:spacing w:after="200" w:line="360" w:lineRule="auto"/>
        <w:jc w:val="both"/>
      </w:pPr>
      <w:r w:rsidRPr="00AD0FF4">
        <w:rPr>
          <w:rFonts w:eastAsia="Times New Roman"/>
        </w:rPr>
        <w:t>This paper provides the first systematic GTED empirical analysis of Japan's three-regime trajectory. It makes four contributions. First, it provides the first time-series decomposition of corporate asset elasticity across Japan's three institutional regimes, revealing the collapse of CA's growth role during the Lost Decades as the primary empirical signature of EE institutional capture. Second, it demonstrates that Abenomics — the most ambitious stimulus experiment in modern economic history — partially restored CA's growth contribution but failed to reverse the EE institutional drift, leaving Japan in a co-prosperity-absent equilibrium that monetary policy cannot reach. Third, it provides a direct bilateral comparison with China's inverse institutional trajectory: as Japan eroded ED through welfare state expansion, China built ED through corporate-led development, generating the co-prosperity that Japan has failed to restore. Fourth, it contributes to the growing literature on the Mature Democracy Trap (MDT) — the systematic tendency of mature democratic politics to generate EE drift that terminates co-prosperity — by documenting Japan's trajectory as the East Asian case of a universal institutional failure mode.</w:t>
      </w:r>
    </w:p>
    <w:p w14:paraId="6DBDDDCE" w14:textId="77777777" w:rsidR="006D4392" w:rsidRPr="00AD0FF4" w:rsidRDefault="00683A75" w:rsidP="00AD0FF4">
      <w:pPr>
        <w:spacing w:after="200" w:line="360" w:lineRule="auto"/>
        <w:jc w:val="both"/>
      </w:pPr>
      <w:r w:rsidRPr="00AD0FF4">
        <w:rPr>
          <w:rFonts w:eastAsia="Times New Roman"/>
        </w:rPr>
        <w:t xml:space="preserve">The paper is organized as follows. Section 2 develops the GTED framework, including the trinitarian model, corporate assets, and the institutional parameter θ. Section 3 characterizes Japan's three institutional regimes through the ED/EE lens. Section 4 presents the empirical model and data. Section 5 reports the regression results. Section 6 interprets the findings and draws bilateral comparisons with China, Korea, and the United States. Section 7 concludes with policy </w:t>
      </w:r>
      <w:r w:rsidRPr="00AD0FF4">
        <w:rPr>
          <w:rFonts w:eastAsia="Times New Roman"/>
        </w:rPr>
        <w:lastRenderedPageBreak/>
        <w:t>implications.</w:t>
      </w:r>
    </w:p>
    <w:p w14:paraId="27F30EA4" w14:textId="77777777" w:rsidR="006D4392" w:rsidRPr="00AD0FF4" w:rsidRDefault="006D4392" w:rsidP="00AD0FF4">
      <w:pPr>
        <w:spacing w:after="200" w:line="360" w:lineRule="auto"/>
        <w:jc w:val="both"/>
      </w:pPr>
    </w:p>
    <w:p w14:paraId="32856526" w14:textId="77777777" w:rsidR="006D4392" w:rsidRPr="00AD0FF4" w:rsidRDefault="00683A75" w:rsidP="00AD0FF4">
      <w:pPr>
        <w:pStyle w:val="1"/>
        <w:spacing w:before="400" w:after="200" w:line="360" w:lineRule="auto"/>
        <w:jc w:val="both"/>
      </w:pPr>
      <w:r w:rsidRPr="00AD0FF4">
        <w:rPr>
          <w:rFonts w:eastAsia="Times New Roman"/>
          <w:b/>
          <w:bCs/>
          <w:sz w:val="28"/>
          <w:szCs w:val="28"/>
        </w:rPr>
        <w:t>2. The GTED Framework: Corporate Economy, Institutional Parameter, and the EET</w:t>
      </w:r>
    </w:p>
    <w:p w14:paraId="428625CA" w14:textId="77777777" w:rsidR="006D4392" w:rsidRPr="00AD0FF4" w:rsidRDefault="00683A75" w:rsidP="00AD0FF4">
      <w:pPr>
        <w:pStyle w:val="2"/>
        <w:spacing w:before="300" w:after="150" w:line="360" w:lineRule="auto"/>
        <w:jc w:val="both"/>
      </w:pPr>
      <w:r w:rsidRPr="00AD0FF4">
        <w:rPr>
          <w:rFonts w:eastAsia="Times New Roman"/>
          <w:b/>
          <w:bCs/>
        </w:rPr>
        <w:t>2.1 Economic Differentiation, Economic Egalitarianism, and Institutional Functionality</w:t>
      </w:r>
    </w:p>
    <w:p w14:paraId="2F649F0F" w14:textId="77777777" w:rsidR="006D4392" w:rsidRPr="00AD0FF4" w:rsidRDefault="00683A75" w:rsidP="00AD0FF4">
      <w:pPr>
        <w:spacing w:after="200" w:line="360" w:lineRule="auto"/>
        <w:jc w:val="both"/>
      </w:pPr>
      <w:r w:rsidRPr="00AD0FF4">
        <w:rPr>
          <w:rFonts w:eastAsia="Times New Roman"/>
        </w:rPr>
        <w:t>GTED identifies two competing institutional principles governing resource allocation across markets, corporations, and governments. Economic Differentiation (ED) is the principle of performance-based allocation: rewards are proportional to productive contribution, coordinated simultaneously through markets (price signals), corporations (organizational incentives), and governments (enabling regulation and property rights). Economic Egalitarianism (EE) is the principle of uniform redistribution: rewards are allocated independently of productive contribution, severing the performance-reward linkage through welfare transfers, regulatory mandates, and income redistribution.</w:t>
      </w:r>
    </w:p>
    <w:p w14:paraId="4236D2C6" w14:textId="77777777" w:rsidR="006D4392" w:rsidRPr="00AD0FF4" w:rsidRDefault="00683A75" w:rsidP="00AD0FF4">
      <w:pPr>
        <w:spacing w:after="200" w:line="360" w:lineRule="auto"/>
        <w:jc w:val="both"/>
      </w:pPr>
      <w:r w:rsidRPr="00AD0FF4">
        <w:rPr>
          <w:rFonts w:eastAsia="Times New Roman"/>
        </w:rPr>
        <w:t>The ED/EE distinction operates at the level of institutional functionality, not formal institutional type (Jwa, 2017). Two economies with identical formal institutions — democratic governance, market economy, property rights — can house radically different functional configurations. What matters is whether the operative allocation principle rewards performance (ED) or redistributes outcomes regardless of performance (EE). Japan under the Meiji oligarchs and postwar developmental state was functionally ED-dominant despite various formal institutional differences from Western democracies. Japan under the mature welfare state of the Lost Decades is functionally EE-dominant despite formally identical institutions.</w:t>
      </w:r>
    </w:p>
    <w:p w14:paraId="4C40C4FB" w14:textId="77777777" w:rsidR="006D4392" w:rsidRPr="00AD0FF4" w:rsidRDefault="00683A75" w:rsidP="00AD0FF4">
      <w:pPr>
        <w:pStyle w:val="2"/>
        <w:spacing w:before="300" w:after="150" w:line="360" w:lineRule="auto"/>
        <w:jc w:val="both"/>
      </w:pPr>
      <w:r w:rsidRPr="00AD0FF4">
        <w:rPr>
          <w:rFonts w:eastAsia="Times New Roman"/>
          <w:b/>
          <w:bCs/>
        </w:rPr>
        <w:t>2.2 The Trinitarian Framework and Corporate Assets</w:t>
      </w:r>
    </w:p>
    <w:p w14:paraId="6BD19CDC" w14:textId="77777777" w:rsidR="006D4392" w:rsidRPr="00AD0FF4" w:rsidRDefault="00683A75" w:rsidP="00AD0FF4">
      <w:pPr>
        <w:spacing w:after="200" w:line="360" w:lineRule="auto"/>
        <w:jc w:val="both"/>
      </w:pPr>
      <w:r w:rsidRPr="00AD0FF4">
        <w:rPr>
          <w:rFonts w:eastAsia="Times New Roman"/>
        </w:rPr>
        <w:t xml:space="preserve">GTED organizes the institutional carriers of ED into a trinitarian framework of the market, the corporation, and the government. Each element exercises ED in a distinct domain; sustained development requires all three to operate in concert. The market exercises ED through competitive </w:t>
      </w:r>
      <w:r w:rsidRPr="00AD0FF4">
        <w:rPr>
          <w:rFonts w:eastAsia="Times New Roman"/>
        </w:rPr>
        <w:lastRenderedPageBreak/>
        <w:t>selection. The corporation exercises ED through internal metering of performance — the CEO's ability to identify, reward, and develop the knowledge and capability (Q) embedded in its workforce that the market cannot meter directly (Alchian and Demsetz, 1972). The government exercises ED by providing the institutional infrastructure within which markets and corporations operate effectively.</w:t>
      </w:r>
    </w:p>
    <w:p w14:paraId="637B8F4B" w14:textId="77777777" w:rsidR="006D4392" w:rsidRPr="00AD0FF4" w:rsidRDefault="00683A75" w:rsidP="00AD0FF4">
      <w:pPr>
        <w:spacing w:after="200" w:line="360" w:lineRule="auto"/>
        <w:jc w:val="both"/>
      </w:pPr>
      <w:r w:rsidRPr="00AD0FF4">
        <w:rPr>
          <w:rFonts w:eastAsia="Times New Roman"/>
        </w:rPr>
        <w:t>The corporation is the grand aggregator of the economy: capital, technology, and knowledge acquire economic value only insofar as they are absorbed into corporate assets (CA) within the corporate governance structure. What remains outside the corporation remains economically unrealized. From this understanding, GTED argues that the most important function of the corporation is not administrative efficiency but developmental: it internalizes knowledge, protects it from free-riding, enforces performance standards on workers and managers, and enables the long-horizon investments that frontier innovation requires (Simon, 1991; Chandler, 1977).</w:t>
      </w:r>
    </w:p>
    <w:p w14:paraId="16351554" w14:textId="77777777" w:rsidR="006D4392" w:rsidRPr="00AD0FF4" w:rsidRDefault="00683A75" w:rsidP="00AD0FF4">
      <w:pPr>
        <w:spacing w:after="200" w:line="360" w:lineRule="auto"/>
        <w:jc w:val="both"/>
      </w:pPr>
      <w:r w:rsidRPr="00AD0FF4">
        <w:rPr>
          <w:rFonts w:eastAsia="Times New Roman"/>
        </w:rPr>
        <w:t>The corporate production function follows: y = caα, where y is per capita output, ca is per capita corporate assets, and α is the output elasticity of corporate assets. This specification is derived from Fisher's (1906) asset-pricing identity ca ≡ y/r, where r is the discount rate capitalizing income y into asset value ca. Corporate assets are measured directly from corporate balance sheets (Compustat Global), independently of the profit rate — dissolving Robinson's (1953) circularity, which requires knowing r to measure K (Jwa, 2026c).</w:t>
      </w:r>
    </w:p>
    <w:p w14:paraId="0D7FEC45" w14:textId="77777777" w:rsidR="006D4392" w:rsidRPr="00AD0FF4" w:rsidRDefault="00683A75" w:rsidP="00AD0FF4">
      <w:pPr>
        <w:pStyle w:val="2"/>
        <w:spacing w:before="300" w:after="150" w:line="360" w:lineRule="auto"/>
        <w:jc w:val="both"/>
      </w:pPr>
      <w:r w:rsidRPr="00AD0FF4">
        <w:rPr>
          <w:rFonts w:eastAsia="Times New Roman"/>
          <w:b/>
          <w:bCs/>
        </w:rPr>
        <w:t>2.3 The Institutional Parameter θ and the Dynamic Model</w:t>
      </w:r>
    </w:p>
    <w:p w14:paraId="7F97C1BE" w14:textId="77777777" w:rsidR="006D4392" w:rsidRPr="00AD0FF4" w:rsidRDefault="00683A75" w:rsidP="00AD0FF4">
      <w:pPr>
        <w:spacing w:after="200" w:line="360" w:lineRule="auto"/>
        <w:jc w:val="both"/>
      </w:pPr>
      <w:r w:rsidRPr="00AD0FF4">
        <w:t>θ is an institutional parameter indexing the ED/EE balance of an economy along a continuum from EE to ED. Higher θ indicates relatively stronger ED; lower θ indicates relatively stronger EE. θ cannot be defined solely by any single empirical measure; its determinants include market selection forces, corporate internal metering, government ED industrial policy, and government EE redistributive and balanced-development policies. In empirical implementation, giniratio (= Mgini/Dgini) serves as one EE intensity indicator, while corporate assets (CA) — measuring corporate density — serve as a powerful ED indicator, both approximately reflecting the ED/EE balance captured by θ.</w:t>
      </w:r>
    </w:p>
    <w:p w14:paraId="7BF09C71" w14:textId="77777777" w:rsidR="006D4392" w:rsidRPr="00AD0FF4" w:rsidRDefault="00683A75" w:rsidP="00AD0FF4">
      <w:pPr>
        <w:spacing w:after="200" w:line="360" w:lineRule="auto"/>
        <w:jc w:val="both"/>
      </w:pPr>
      <w:r w:rsidRPr="00AD0FF4">
        <w:rPr>
          <w:rFonts w:eastAsia="Times New Roman"/>
        </w:rPr>
        <w:t xml:space="preserve">The GTED dynamic model formalizes this: dA/dt = θ·y − A, where A is organizational technology in the corporate assets specification ca = k·Aγ. The augmentation force θ·y feeds institutional </w:t>
      </w:r>
      <w:r w:rsidRPr="00AD0FF4">
        <w:rPr>
          <w:rFonts w:eastAsia="Times New Roman"/>
        </w:rPr>
        <w:lastRenderedPageBreak/>
        <w:t>output back into organizational capability; the erosion force −A captures capability decay without sustained incentives. Under ED (θ high): A accumulates → ca deepens → y grows → Mgini initially rises then falls (co-prosperity). Under EE (θ low): A decays → ca stagnates → y slows → Mgini worsens despite redistribution (polarized stagnation). These two equilibria — co-prosperity and polarized stagnation — are the central empirical predictions that Japan's data will test.</w:t>
      </w:r>
    </w:p>
    <w:p w14:paraId="58AE9628" w14:textId="77777777" w:rsidR="006D4392" w:rsidRPr="00AD0FF4" w:rsidRDefault="00683A75" w:rsidP="00AD0FF4">
      <w:pPr>
        <w:pStyle w:val="2"/>
        <w:spacing w:before="300" w:after="150" w:line="360" w:lineRule="auto"/>
        <w:jc w:val="both"/>
      </w:pPr>
      <w:r w:rsidRPr="00AD0FF4">
        <w:rPr>
          <w:rFonts w:eastAsia="Times New Roman"/>
          <w:b/>
          <w:bCs/>
        </w:rPr>
        <w:t>2.4 The Economic Egalitarianism Trap and the Mature Democracy Trap</w:t>
      </w:r>
    </w:p>
    <w:p w14:paraId="3CC36728" w14:textId="77777777" w:rsidR="006D4392" w:rsidRPr="00AD0FF4" w:rsidRDefault="00683A75" w:rsidP="00AD0FF4">
      <w:pPr>
        <w:spacing w:after="200" w:line="360" w:lineRule="auto"/>
        <w:jc w:val="both"/>
      </w:pPr>
      <w:r w:rsidRPr="00AD0FF4">
        <w:rPr>
          <w:rFonts w:eastAsia="Times New Roman"/>
        </w:rPr>
        <w:t>The Economic Egalitarianism Trap (EET) is GTED's name for the universal tendency of EE accumulation to generate polarized stagnation. Once EE institutions become entrenched — welfare state programs create constituencies, redistributive norms become politically protected, anti-corporate regulation accumulates — the θ parameter falls persistently, suppressing the A → ca → y → A feedback loop that sustains co-prosperity. The EET is self-reinforcing: EE suppresses CA growth, which reduces the employment and wage gains that would otherwise generate broad-based prosperity endogenously, which intensifies political pressure for further redistribution, which deepens EE. Breaking the EET requires not monetary stimulus but institutional restoration of ED — precisely what Abenomics' three arrows failed to deliver.</w:t>
      </w:r>
    </w:p>
    <w:p w14:paraId="2F592F37" w14:textId="77777777" w:rsidR="006D4392" w:rsidRPr="00AD0FF4" w:rsidRDefault="00683A75" w:rsidP="00AD0FF4">
      <w:pPr>
        <w:spacing w:after="200" w:line="360" w:lineRule="auto"/>
        <w:jc w:val="both"/>
      </w:pPr>
      <w:r w:rsidRPr="00AD0FF4">
        <w:rPr>
          <w:rFonts w:eastAsia="Times New Roman"/>
        </w:rPr>
        <w:t>The Mature Democracy Trap (MDT) is the specific manifestation of the EET in advanced democratic economies (Jwa, 2024). As democracies mature, egalitarian political pressures intensify: labor gains bargaining power, welfare constituencies consolidate, redistributive ideologies gain intellectual legitimacy. The result is a systematic tendency toward EE drift that terminates the co-prosperity generated by earlier ED institutions. Japan is the East Asian MDT case; the United States is the North Atlantic case (Jwa, 2026a); both confirm that the EET operates regardless of geographic, cultural, or political context.</w:t>
      </w:r>
    </w:p>
    <w:p w14:paraId="0B7527FA" w14:textId="77777777" w:rsidR="006D4392" w:rsidRPr="00AD0FF4" w:rsidRDefault="006D4392" w:rsidP="00AD0FF4">
      <w:pPr>
        <w:spacing w:after="200" w:line="360" w:lineRule="auto"/>
        <w:jc w:val="both"/>
      </w:pPr>
    </w:p>
    <w:p w14:paraId="288B50E1" w14:textId="77777777" w:rsidR="006D4392" w:rsidRPr="00AD0FF4" w:rsidRDefault="00683A75" w:rsidP="00AD0FF4">
      <w:pPr>
        <w:spacing w:before="300" w:after="150" w:line="360" w:lineRule="auto"/>
        <w:jc w:val="both"/>
      </w:pPr>
      <w:r w:rsidRPr="00AD0FF4">
        <w:rPr>
          <w:b/>
          <w:bCs/>
          <w:sz w:val="26"/>
          <w:szCs w:val="26"/>
        </w:rPr>
        <w:t>2.5 The GTED Dynamic Model: Co-Prosperity vs. Polarized Stagnation</w:t>
      </w:r>
    </w:p>
    <w:p w14:paraId="03AA7DEA" w14:textId="77777777" w:rsidR="006D4392" w:rsidRPr="00AD0FF4" w:rsidRDefault="00683A75" w:rsidP="00AD0FF4">
      <w:pPr>
        <w:spacing w:after="200" w:line="360" w:lineRule="auto"/>
        <w:jc w:val="both"/>
      </w:pPr>
      <w:r w:rsidRPr="00AD0FF4">
        <w:t>The institutional dynamics of Japan’s trajectory are formalized in the GTED four-equation dynamic model (Jwa, 2017). The model provides the theoretical foundation for the regression specification and connects the institutional narrative of Section 3 to the empirical results of Sections 5 and 6.</w:t>
      </w:r>
    </w:p>
    <w:p w14:paraId="3EAD39FF" w14:textId="77777777" w:rsidR="006D4392" w:rsidRPr="00AD0FF4" w:rsidRDefault="00683A75" w:rsidP="00AD0FF4">
      <w:pPr>
        <w:spacing w:after="200" w:line="360" w:lineRule="auto"/>
        <w:jc w:val="both"/>
      </w:pPr>
      <w:r w:rsidRPr="00AD0FF4">
        <w:lastRenderedPageBreak/>
        <w:t>The four-equation system is:</w:t>
      </w:r>
    </w:p>
    <w:p w14:paraId="1696CA20" w14:textId="77777777" w:rsidR="006D4392" w:rsidRPr="00AD0FF4" w:rsidRDefault="00683A75" w:rsidP="00AD0FF4">
      <w:pPr>
        <w:spacing w:after="200" w:line="360" w:lineRule="auto"/>
        <w:jc w:val="both"/>
      </w:pPr>
      <w:r w:rsidRPr="00AD0FF4">
        <w:rPr>
          <w:i/>
          <w:iCs/>
          <w:sz w:val="22"/>
          <w:szCs w:val="22"/>
        </w:rPr>
        <w:t xml:space="preserve">(1)  ca = k · Aγ,    γ </w:t>
      </w:r>
      <w:r w:rsidRPr="00AD0FF4">
        <w:rPr>
          <w:rFonts w:ascii="Cambria Math" w:hAnsi="Cambria Math" w:cs="Cambria Math"/>
          <w:i/>
          <w:iCs/>
          <w:sz w:val="22"/>
          <w:szCs w:val="22"/>
        </w:rPr>
        <w:t>∈</w:t>
      </w:r>
      <w:r w:rsidRPr="00AD0FF4">
        <w:rPr>
          <w:i/>
          <w:iCs/>
          <w:sz w:val="22"/>
          <w:szCs w:val="22"/>
        </w:rPr>
        <w:t xml:space="preserve"> (0,1)        [corporate asset accumulation]</w:t>
      </w:r>
    </w:p>
    <w:p w14:paraId="31D4E2FA" w14:textId="77777777" w:rsidR="006D4392" w:rsidRPr="00AD0FF4" w:rsidRDefault="00683A75" w:rsidP="00AD0FF4">
      <w:pPr>
        <w:spacing w:after="200" w:line="360" w:lineRule="auto"/>
        <w:jc w:val="both"/>
      </w:pPr>
      <w:r w:rsidRPr="00AD0FF4">
        <w:rPr>
          <w:i/>
          <w:iCs/>
          <w:sz w:val="22"/>
          <w:szCs w:val="22"/>
        </w:rPr>
        <w:t xml:space="preserve">(2)  y = caα,    α </w:t>
      </w:r>
      <w:r w:rsidRPr="00AD0FF4">
        <w:rPr>
          <w:rFonts w:ascii="Cambria Math" w:hAnsi="Cambria Math" w:cs="Cambria Math"/>
          <w:i/>
          <w:iCs/>
          <w:sz w:val="22"/>
          <w:szCs w:val="22"/>
        </w:rPr>
        <w:t>∈</w:t>
      </w:r>
      <w:r w:rsidRPr="00AD0FF4">
        <w:rPr>
          <w:i/>
          <w:iCs/>
          <w:sz w:val="22"/>
          <w:szCs w:val="22"/>
        </w:rPr>
        <w:t xml:space="preserve"> (0,1)         [corporate production function]</w:t>
      </w:r>
    </w:p>
    <w:p w14:paraId="4F1450E2" w14:textId="77777777" w:rsidR="006D4392" w:rsidRPr="00AD0FF4" w:rsidRDefault="00683A75" w:rsidP="00AD0FF4">
      <w:pPr>
        <w:spacing w:after="200" w:line="360" w:lineRule="auto"/>
        <w:jc w:val="both"/>
      </w:pPr>
      <w:r w:rsidRPr="00AD0FF4">
        <w:rPr>
          <w:i/>
          <w:iCs/>
          <w:sz w:val="22"/>
          <w:szCs w:val="22"/>
        </w:rPr>
        <w:t>(3)  dA/dt = θ · y − A              [technology dynamics: institutional determination]</w:t>
      </w:r>
    </w:p>
    <w:p w14:paraId="596FD38E" w14:textId="77777777" w:rsidR="006D4392" w:rsidRPr="00AD0FF4" w:rsidRDefault="00683A75" w:rsidP="00AD0FF4">
      <w:pPr>
        <w:spacing w:after="200" w:line="360" w:lineRule="auto"/>
        <w:jc w:val="both"/>
      </w:pPr>
      <w:r w:rsidRPr="00AD0FF4">
        <w:rPr>
          <w:i/>
          <w:iCs/>
          <w:sz w:val="22"/>
          <w:szCs w:val="22"/>
        </w:rPr>
        <w:t>(4)  Mgini = g(ca, giniratio)     [distribution: endogenous to institutional balance]</w:t>
      </w:r>
    </w:p>
    <w:p w14:paraId="3213C62E" w14:textId="77777777" w:rsidR="006D4392" w:rsidRPr="00AD0FF4" w:rsidRDefault="00683A75" w:rsidP="00AD0FF4">
      <w:pPr>
        <w:spacing w:after="200" w:line="360" w:lineRule="auto"/>
        <w:jc w:val="both"/>
      </w:pPr>
      <w:r w:rsidRPr="00AD0FF4">
        <w:t xml:space="preserve">where ca is per capita corporate assets, A is organizational technology, y is per capita output, Mgini is the market Gini coefficient, and θ is the institutional parameter indexing the ED/EE balance. k, α, and γ are positive parameters with α, γ </w:t>
      </w:r>
      <w:r w:rsidRPr="00AD0FF4">
        <w:rPr>
          <w:rFonts w:ascii="Cambria Math" w:hAnsi="Cambria Math" w:cs="Cambria Math"/>
        </w:rPr>
        <w:t>∈</w:t>
      </w:r>
      <w:r w:rsidRPr="00AD0FF4">
        <w:t xml:space="preserve"> (0,1).</w:t>
      </w:r>
    </w:p>
    <w:p w14:paraId="3BA69326" w14:textId="77777777" w:rsidR="006D4392" w:rsidRPr="00AD0FF4" w:rsidRDefault="00683A75" w:rsidP="00AD0FF4">
      <w:pPr>
        <w:spacing w:after="200" w:line="360" w:lineRule="auto"/>
        <w:jc w:val="both"/>
      </w:pPr>
      <w:r w:rsidRPr="00AD0FF4">
        <w:t>The model generates two stable equilibria depending on the institutional configuration. Under ED dominance (higher θ): the augmentation force θ·y exceeds the erosion force A, organizational technology A accumulates, corporate assets ca deepen through equation (1), output y expands through equation (2), and the feedback loop A → ca → y → A is self-reinforcing. As ca matures, Mgini initially rises (differentiation phase) and then falls (co-prosperity phase) through equation (4). This is the ED equilibrium: sustained growth with endogenous shared prosperity.</w:t>
      </w:r>
    </w:p>
    <w:p w14:paraId="0067FABD" w14:textId="77777777" w:rsidR="006D4392" w:rsidRPr="00AD0FF4" w:rsidRDefault="00683A75" w:rsidP="00AD0FF4">
      <w:pPr>
        <w:spacing w:after="200" w:line="360" w:lineRule="auto"/>
        <w:jc w:val="both"/>
      </w:pPr>
      <w:r w:rsidRPr="00AD0FF4">
        <w:t>Under EE dominance (lower θ): the augmentation force θ·y falls short of the erosion force, A decays, ca stagnates, y slows, and the feedback loop reverses. Redistribution suppresses the corporate growth that would otherwise generate broad-based income gains, and Mgini worsens despite redistribution. This is the EE equilibrium: polarized stagnation — the theoretical prediction that Japan’s empirical data must test.</w:t>
      </w:r>
    </w:p>
    <w:p w14:paraId="300AE7A6" w14:textId="77777777" w:rsidR="006D4392" w:rsidRPr="00AD0FF4" w:rsidRDefault="00683A75" w:rsidP="00AD0FF4">
      <w:pPr>
        <w:spacing w:after="200" w:line="360" w:lineRule="auto"/>
        <w:jc w:val="both"/>
      </w:pPr>
      <w:r w:rsidRPr="00AD0FF4">
        <w:t>Applied to Japan, the model generates precise testable predictions. Phase 2 (1992–2012) represents the EE equilibrium: lower θ from cumulative EE policies (Tanaka’s balanced development, lifetime employment, welfare expansion, zombie firm support) drives A decay, ca stagnation, and y collapse — confirmed by the CA elasticity collapse to 0.018 n.s. Phase 3 (2013–2021) represents Abenomics’ partial monetary restoration of θ·y without institutional restoration of θ itself — confirmed by partial CA recovery (0.138***) without co-prosperity (CA→Gini: +0.043***). The model thus provides the theoretical bridge between the institutional history of Section 3 and the regression evidence of Sections 5 and 6.</w:t>
      </w:r>
    </w:p>
    <w:p w14:paraId="2D658D9F" w14:textId="77777777" w:rsidR="006D4392" w:rsidRPr="00AD0FF4" w:rsidRDefault="00683A75" w:rsidP="00AD0FF4">
      <w:pPr>
        <w:spacing w:after="200" w:line="360" w:lineRule="auto"/>
        <w:jc w:val="both"/>
      </w:pPr>
      <w:r w:rsidRPr="00AD0FF4">
        <w:lastRenderedPageBreak/>
        <w:t>Figure 1 illustrates these dynamics empirically. The dramatic CA growth collapse (17.8→ 5.7 percent per annum from Phase 1 to Phase 2) and the sustained rise in market Gini across all three phases — confirming the absence of co-prosperity — provide the visual complement to the regression evidence.</w:t>
      </w:r>
    </w:p>
    <w:p w14:paraId="2BF6C51C" w14:textId="77777777" w:rsidR="006D4392" w:rsidRPr="00AD0FF4" w:rsidRDefault="006D4392" w:rsidP="00AD0FF4">
      <w:pPr>
        <w:spacing w:after="200" w:line="360" w:lineRule="auto"/>
        <w:jc w:val="both"/>
      </w:pPr>
    </w:p>
    <w:p w14:paraId="34F48D6D" w14:textId="77777777" w:rsidR="006D4392" w:rsidRPr="00AD0FF4" w:rsidRDefault="00683A75" w:rsidP="00AD0FF4">
      <w:pPr>
        <w:spacing w:after="200" w:line="360" w:lineRule="auto"/>
        <w:jc w:val="both"/>
      </w:pPr>
      <w:r w:rsidRPr="00AD0FF4">
        <w:rPr>
          <w:b/>
          <w:bCs/>
          <w:sz w:val="22"/>
          <w:szCs w:val="22"/>
        </w:rPr>
        <w:t>Figure 1. Japan’s Key Economic Indicators by Institutional Regime (1988–2021)</w:t>
      </w:r>
    </w:p>
    <w:p w14:paraId="24E268AA" w14:textId="77777777" w:rsidR="006D4392" w:rsidRPr="00AD0FF4" w:rsidRDefault="00683A75" w:rsidP="00AD0FF4">
      <w:pPr>
        <w:spacing w:after="200" w:line="360" w:lineRule="auto"/>
        <w:jc w:val="both"/>
      </w:pPr>
      <w:r w:rsidRPr="00AD0FF4">
        <w:rPr>
          <w:noProof/>
        </w:rPr>
        <w:drawing>
          <wp:inline distT="0" distB="0" distL="0" distR="0" wp14:anchorId="06C3C5E5" wp14:editId="1F8B8988">
            <wp:extent cx="5486400" cy="6081577"/>
            <wp:effectExtent l="0" t="0" r="0" b="0"/>
            <wp:docPr id="100" name="Figur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Figure1"/>
                    <pic:cNvPicPr/>
                  </pic:nvPicPr>
                  <pic:blipFill>
                    <a:blip r:embed="rId7"/>
                    <a:stretch>
                      <a:fillRect/>
                    </a:stretch>
                  </pic:blipFill>
                  <pic:spPr>
                    <a:xfrm>
                      <a:off x="0" y="0"/>
                      <a:ext cx="5486400" cy="6081577"/>
                    </a:xfrm>
                    <a:prstGeom prst="rect">
                      <a:avLst/>
                    </a:prstGeom>
                  </pic:spPr>
                </pic:pic>
              </a:graphicData>
            </a:graphic>
          </wp:inline>
        </w:drawing>
      </w:r>
    </w:p>
    <w:p w14:paraId="1CD601F9" w14:textId="77777777" w:rsidR="006D4392" w:rsidRPr="00AD0FF4" w:rsidRDefault="00683A75" w:rsidP="00AD0FF4">
      <w:pPr>
        <w:spacing w:after="200" w:line="360" w:lineRule="auto"/>
        <w:jc w:val="both"/>
      </w:pPr>
      <w:r w:rsidRPr="00AD0FF4">
        <w:rPr>
          <w:i/>
          <w:iCs/>
          <w:sz w:val="18"/>
          <w:szCs w:val="18"/>
        </w:rPr>
        <w:lastRenderedPageBreak/>
        <w:t>Notes: Phase averages — CA growth: Ph1 = 17.8%pa, Ph2 = 5.7%pa, Ph3 = 5.2%pa; GDP growth: Ph1 = 4.6%pa, Ph2 = 0.7%pa, Ph3 = 0.7%pa. Market Gini rose from 37.8 (1988) to 46.3 (2021) across all three phases, confirming progressive EE intensification. CA elasticities from three-regime OLS with HAC SE (maxlags=3), N=34. Faded bars in Panel C = statistically insignificant (n.s.). Sources: Compustat Global (CA), World Bank WDI (GDP), SWIID v9.3 (Gini).</w:t>
      </w:r>
    </w:p>
    <w:p w14:paraId="59167A7B" w14:textId="77777777" w:rsidR="006D4392" w:rsidRPr="00AD0FF4" w:rsidRDefault="006D4392" w:rsidP="00AD0FF4">
      <w:pPr>
        <w:spacing w:after="200" w:line="360" w:lineRule="auto"/>
        <w:jc w:val="both"/>
      </w:pPr>
    </w:p>
    <w:p w14:paraId="4E65B665" w14:textId="77777777" w:rsidR="006D4392" w:rsidRPr="00AD0FF4" w:rsidRDefault="00683A75" w:rsidP="00AD0FF4">
      <w:pPr>
        <w:spacing w:before="300" w:after="150" w:line="360" w:lineRule="auto"/>
        <w:jc w:val="both"/>
      </w:pPr>
      <w:r w:rsidRPr="00AD0FF4">
        <w:rPr>
          <w:b/>
          <w:bCs/>
          <w:sz w:val="28"/>
          <w:szCs w:val="28"/>
        </w:rPr>
        <w:t>3. Japan’s Institutional Trajectory: From ED Miracle to Political EE Capture and the Bubble</w:t>
      </w:r>
    </w:p>
    <w:p w14:paraId="2F13283E" w14:textId="77777777" w:rsidR="006D4392" w:rsidRPr="00AD0FF4" w:rsidRDefault="00683A75" w:rsidP="00AD0FF4">
      <w:pPr>
        <w:spacing w:before="300" w:after="150" w:line="360" w:lineRule="auto"/>
        <w:jc w:val="both"/>
      </w:pPr>
      <w:r w:rsidRPr="00AD0FF4">
        <w:rPr>
          <w:b/>
          <w:bCs/>
          <w:sz w:val="26"/>
          <w:szCs w:val="26"/>
        </w:rPr>
        <w:t>3.1 Historical Background: Meiji to High Growth (1868–1987) — One Century of ED All In</w:t>
      </w:r>
    </w:p>
    <w:p w14:paraId="0CFBAD6A" w14:textId="77777777" w:rsidR="006D4392" w:rsidRPr="00AD0FF4" w:rsidRDefault="00683A75" w:rsidP="00AD0FF4">
      <w:pPr>
        <w:spacing w:after="200" w:line="360" w:lineRule="auto"/>
        <w:jc w:val="both"/>
      </w:pPr>
      <w:r w:rsidRPr="00AD0FF4">
        <w:t>Japan’s corporate economy has the most deliberately constructed institutional history of any currently advanced economy. The Meiji Restoration of 1868 launched the first explicit state-led corporate economy in modern history — not through laissez-faire markets but through discriminatory, performance-based industrial policy that GTED identifies as Economic Differentiation institutionalized at the national scale (Jwa, 2017).</w:t>
      </w:r>
    </w:p>
    <w:p w14:paraId="2E387BA6" w14:textId="77777777" w:rsidR="006D4392" w:rsidRPr="00AD0FF4" w:rsidRDefault="00683A75" w:rsidP="00AD0FF4">
      <w:pPr>
        <w:spacing w:after="200" w:line="360" w:lineRule="auto"/>
        <w:jc w:val="both"/>
      </w:pPr>
      <w:r w:rsidRPr="00AD0FF4">
        <w:t>The Meiji oligarchs dismantled the social caste system that had disdained commercial activity (1869), formally permitted freedom of choice for crops (1871) and for selling farmland (1872), promulgated the constitution declaring the inviolability of private property rights (1889), enacted the modern civil law (1898), and introduced the joint-stock company system (1899) modelled on the German corporate law. These were not merely formal institutional changes; they were functional ED institutions creating the performance-reward linkage through which the corporate sector could accumulate assets and drive national development.</w:t>
      </w:r>
    </w:p>
    <w:p w14:paraId="47EC555D" w14:textId="77777777" w:rsidR="006D4392" w:rsidRPr="00AD0FF4" w:rsidRDefault="00683A75" w:rsidP="00AD0FF4">
      <w:pPr>
        <w:spacing w:after="200" w:line="360" w:lineRule="auto"/>
        <w:jc w:val="both"/>
      </w:pPr>
      <w:r w:rsidRPr="00AD0FF4">
        <w:t>The transformation of samurai bushido into modern entrepreneurship — what contemporaries called ‘samurai with abacuses’ — embodied the same ED principle: performance generates reward, regardless of social origin. Many samurai reinvented themselves as business entrepreneurs, bringing the discipline and long-horizon commitment of the warrior class to corporate organization, not for individual profit but for national economic strength.</w:t>
      </w:r>
    </w:p>
    <w:p w14:paraId="5093A441" w14:textId="77777777" w:rsidR="006D4392" w:rsidRPr="00AD0FF4" w:rsidRDefault="00683A75" w:rsidP="00AD0FF4">
      <w:pPr>
        <w:spacing w:after="200" w:line="360" w:lineRule="auto"/>
        <w:jc w:val="both"/>
      </w:pPr>
      <w:r w:rsidRPr="00AD0FF4">
        <w:t xml:space="preserve">From 1880, the Meiji government adopted a decisive ED industrial policy: systematically selling off government plants and factories — except key defence industries — to a small number of </w:t>
      </w:r>
      <w:r w:rsidRPr="00AD0FF4">
        <w:lastRenderedPageBreak/>
        <w:t>market-tested private companies: Mitsui, Mitsubishi, Sumitomo, and Yasuda. These companies received government support explicitly because they had already proven themselves in the market. This was not picking winners against market outcomes; it was reinforcing market selection — the purest form of ED industrial policy. The result was the zaibatsu system, which led Japan’s pre-war industrialization and re-emerged as keiretsu in the post-war era.</w:t>
      </w:r>
    </w:p>
    <w:p w14:paraId="4B1138CA" w14:textId="77777777" w:rsidR="006D4392" w:rsidRPr="00AD0FF4" w:rsidRDefault="00683A75" w:rsidP="00AD0FF4">
      <w:pPr>
        <w:spacing w:after="200" w:line="360" w:lineRule="auto"/>
        <w:jc w:val="both"/>
      </w:pPr>
      <w:r w:rsidRPr="00AD0FF4">
        <w:t>Critically, GTED (Jwa, 2017) identifies the specific ED mechanism behind Japan’s century of success as ‘unbalanced development’ — deliberately enlarging what Morishima (1982) calls the ‘three differences’ (</w:t>
      </w:r>
      <w:r w:rsidRPr="00AD0FF4">
        <w:t>三つの格差</w:t>
      </w:r>
      <w:r w:rsidRPr="00AD0FF4">
        <w:t>): between city and village, between industry and agriculture, and between knowledge and manual work, by systematically favouring the former in each pair. To these three differences, GTED adds a fourth: favouring market-tested, better-performing corporations over mediocre ones, and thereby enlarging the performance gap across the corporate sector. This four-dimensional discriminatory concentration policy — the institutional opposite of balanced, egalitarian development — was the engine of Japan’s condensed economic miracle.</w:t>
      </w:r>
    </w:p>
    <w:p w14:paraId="6EBC7BCA" w14:textId="77777777" w:rsidR="006D4392" w:rsidRPr="00AD0FF4" w:rsidRDefault="00683A75" w:rsidP="00AD0FF4">
      <w:pPr>
        <w:spacing w:after="200" w:line="360" w:lineRule="auto"/>
        <w:jc w:val="both"/>
      </w:pPr>
      <w:r w:rsidRPr="00AD0FF4">
        <w:t>Post-war reconstruction deepened the ED corporate economy through the ‘priority production system’ (</w:t>
      </w:r>
      <w:r w:rsidRPr="00AD0FF4">
        <w:t>傾斜生産方式</w:t>
      </w:r>
      <w:r w:rsidRPr="00AD0FF4">
        <w:t>), directing the highest investment priority to steel and coal — again, performance-conditional support for strategically identified corporate sectors (Johnson, 1982). Japan’s high growth era (1955–1973) then achieved sustained annual GDP growth of 9.1 percent under MITI’s explicitly discriminatory industrial targeting: export-performing keiretsu received preferential credit, infrastructure, and government support; those that failed to meet export targets had support withdrawn. The post-war export promotion policy was, as the MITI framework intended, systematically discriminatory: better export-performing corporations received more financial and other incentives, and the general trading company system (1876 origin) played a key role in differentiating and rewarding corporate export performance.</w:t>
      </w:r>
    </w:p>
    <w:p w14:paraId="4FE5EF7D" w14:textId="77777777" w:rsidR="006D4392" w:rsidRPr="00AD0FF4" w:rsidRDefault="00683A75" w:rsidP="00AD0FF4">
      <w:pPr>
        <w:spacing w:after="200" w:line="360" w:lineRule="auto"/>
        <w:jc w:val="both"/>
      </w:pPr>
      <w:r w:rsidRPr="00AD0FF4">
        <w:t>By 1968, Japan had become the world’s second-largest economy — the direct institutional product of one century of deliberate ED concentration: capital, infrastructure, and government support consistently directed toward the best-performing sectors, regions, and corporations. ED was all in, and the result was the most successful catching-up development experience in modern economic history.</w:t>
      </w:r>
    </w:p>
    <w:p w14:paraId="43217909" w14:textId="77777777" w:rsidR="006D4392" w:rsidRPr="00AD0FF4" w:rsidRDefault="00683A75" w:rsidP="00AD0FF4">
      <w:pPr>
        <w:spacing w:before="300" w:after="150" w:line="360" w:lineRule="auto"/>
        <w:jc w:val="both"/>
      </w:pPr>
      <w:r w:rsidRPr="00AD0FF4">
        <w:rPr>
          <w:b/>
          <w:bCs/>
          <w:sz w:val="26"/>
          <w:szCs w:val="26"/>
        </w:rPr>
        <w:lastRenderedPageBreak/>
        <w:t>3.2 The Political EE Capture (1968–1991): From ED All In to EE All In — and the Bubble</w:t>
      </w:r>
    </w:p>
    <w:p w14:paraId="762D13F3" w14:textId="77777777" w:rsidR="006D4392" w:rsidRPr="00AD0FF4" w:rsidRDefault="00683A75" w:rsidP="00AD0FF4">
      <w:pPr>
        <w:spacing w:after="200" w:line="360" w:lineRule="auto"/>
        <w:jc w:val="both"/>
      </w:pPr>
      <w:r w:rsidRPr="00AD0FF4">
        <w:t>Japan’s institutional turning point was not the oil shock of 1973, the Plaza Accord of 1985, or the financial deregulation of the late 1980s. It was a political decision taken precisely at the moment of Japan’s greatest developmental success: having achieved world second-place status in 1968, Japanese politics went ALL IN on Economic Egalitarianism. This institutional pivot — from a century of ED to a systematic programme of EE — is the root cause of both the bubble and the Lost Decades. GTED (Jwa, 2017) identifies it precisely; this paper confirms it empirically.</w:t>
      </w:r>
    </w:p>
    <w:p w14:paraId="3A634EA2" w14:textId="77777777" w:rsidR="006D4392" w:rsidRPr="00AD0FF4" w:rsidRDefault="00683A75" w:rsidP="00AD0FF4">
      <w:pPr>
        <w:spacing w:after="200" w:line="360" w:lineRule="auto"/>
        <w:jc w:val="both"/>
      </w:pPr>
      <w:r w:rsidRPr="00AD0FF4">
        <w:t xml:space="preserve">Kakuei Tanaka, first as MITI Minister (1969–1972) and then as Prime Minister (1972–1974), articulated the EE political programme most explicitly in his 1972 manifesto </w:t>
      </w:r>
      <w:r w:rsidRPr="00AD0FF4">
        <w:t>日本列島改造論</w:t>
      </w:r>
      <w:r w:rsidRPr="00AD0FF4">
        <w:t xml:space="preserve"> (Remodelling the Japanese Archipelago). This document must be read through the GTED lens: it was a comprehensive political programme to eliminate the very differences that GTED identifies as Japan’s developmental energy. It proposed to:</w:t>
      </w:r>
    </w:p>
    <w:p w14:paraId="0ECC7259" w14:textId="77777777" w:rsidR="006D4392" w:rsidRPr="00AD0FF4" w:rsidRDefault="00683A75" w:rsidP="00AD0FF4">
      <w:pPr>
        <w:spacing w:after="200" w:line="360" w:lineRule="auto"/>
        <w:jc w:val="both"/>
      </w:pPr>
      <w:r w:rsidRPr="00AD0FF4">
        <w:t>(i) Create 100 or more specialized industrial cities distributed across the entire national territory, deliberately dispersing the economic concentration that market forces and ED industrial policy had built in the Tokyo–Osaka corridor; (ii) Connect all regions with a comprehensive national Shinkansen network, guaranteeing equal infrastructure access regardless of regional economic performance or productive potential; (iii) Redirect industrial investment nationwide through government direction, overriding market signals that had concentrated investment in high-performing coastal corporate clusters; and (iv) Eliminate income inequalities among regions, income classes, and corporations — explicitly targeting the four differences that GTED identifies as the source of Japan’s development dynamism.</w:t>
      </w:r>
    </w:p>
    <w:p w14:paraId="544B7D79" w14:textId="77777777" w:rsidR="006D4392" w:rsidRPr="00AD0FF4" w:rsidRDefault="00683A75" w:rsidP="00AD0FF4">
      <w:pPr>
        <w:spacing w:after="200" w:line="360" w:lineRule="auto"/>
        <w:jc w:val="both"/>
      </w:pPr>
      <w:r w:rsidRPr="00AD0FF4">
        <w:t xml:space="preserve">The GTED interpretation of Tanaka’s programme reveals a mechanism entirely absent from the conventional literature: the announcement of nationwide equal development immediately generated nationwide land speculation. When the government promises to make everywhere equally valuable through infrastructure and industrial dispersal, the market responds by treating all land as equally worthy of speculative investment. Land prices in regional cities surged 30–40 percent in 1972 alone — the year of </w:t>
      </w:r>
      <w:r w:rsidRPr="00AD0FF4">
        <w:t>日本列島改造論</w:t>
      </w:r>
      <w:r w:rsidRPr="00AD0FF4">
        <w:t xml:space="preserve">’s publication — as investors anticipated </w:t>
      </w:r>
      <w:r w:rsidRPr="00AD0FF4">
        <w:lastRenderedPageBreak/>
        <w:t>that government-directed Shinkansen connections and specialized city construction would equalize development value across the previously differentiated national territory (Japan Real Estate Institute, 2024). The political promise of equal development produced a speculative uniformity of land price expectations: EE politics generated the conditions for a financial bubble.</w:t>
      </w:r>
    </w:p>
    <w:p w14:paraId="6F196D2F" w14:textId="77777777" w:rsidR="006D4392" w:rsidRPr="00AD0FF4" w:rsidRDefault="00683A75" w:rsidP="00AD0FF4">
      <w:pPr>
        <w:spacing w:after="200" w:line="360" w:lineRule="auto"/>
        <w:jc w:val="both"/>
      </w:pPr>
      <w:r w:rsidRPr="00AD0FF4">
        <w:t xml:space="preserve">The 1973 oil shock temporarily interrupted the land price surge and generated </w:t>
      </w:r>
      <w:r w:rsidRPr="00AD0FF4">
        <w:t>狂</w:t>
      </w:r>
      <w:r w:rsidRPr="00AD0FF4">
        <w:rPr>
          <w:rFonts w:ascii="Noto Sans KR" w:eastAsia="Noto Sans KR" w:hAnsi="Noto Sans KR" w:cs="Noto Sans KR" w:hint="eastAsia"/>
        </w:rPr>
        <w:t>乱</w:t>
      </w:r>
      <w:r w:rsidRPr="00AD0FF4">
        <w:rPr>
          <w:rFonts w:ascii="맑은 고딕" w:eastAsia="맑은 고딕" w:hAnsi="맑은 고딕" w:cs="맑은 고딕" w:hint="eastAsia"/>
        </w:rPr>
        <w:t>物</w:t>
      </w:r>
      <w:r w:rsidRPr="00AD0FF4">
        <w:rPr>
          <w:rFonts w:ascii="MS Mincho" w:eastAsia="MS Mincho" w:hAnsi="MS Mincho" w:cs="MS Mincho" w:hint="eastAsia"/>
        </w:rPr>
        <w:t>価</w:t>
      </w:r>
      <w:r w:rsidRPr="00AD0FF4">
        <w:t xml:space="preserve"> (wild price inflation of nearly 25 percent), forcing fiscal tightening. But the EE institutional programme continued comprehensively and deepened on multiple fronts simultaneously. The National Land Use Planning Act (</w:t>
      </w:r>
      <w:r w:rsidRPr="00AD0FF4">
        <w:t>土地利用計</w:t>
      </w:r>
      <w:r w:rsidRPr="00AD0FF4">
        <w:rPr>
          <w:rFonts w:ascii="Noto Sans KR" w:eastAsia="Noto Sans KR" w:hAnsi="Noto Sans KR" w:cs="Noto Sans KR" w:hint="eastAsia"/>
        </w:rPr>
        <w:t>画</w:t>
      </w:r>
      <w:r w:rsidRPr="00AD0FF4">
        <w:rPr>
          <w:rFonts w:ascii="맑은 고딕" w:eastAsia="맑은 고딕" w:hAnsi="맑은 고딕" w:cs="맑은 고딕" w:hint="eastAsia"/>
        </w:rPr>
        <w:t>法</w:t>
      </w:r>
      <w:r w:rsidRPr="00AD0FF4">
        <w:t>, 1974) formalized government direction of land use away from market signals toward equal distribution. The 1973 ‘First Welfare Year’ (</w:t>
      </w:r>
      <w:r w:rsidRPr="00AD0FF4">
        <w:t>福祉元年</w:t>
      </w:r>
      <w:r w:rsidRPr="00AD0FF4">
        <w:t>) doubled pension benefits and made medical care free for the elderly: social expenditure rose from 5.7 percent of GDP in 1970 to 10.1 percent in 1980 and 11.3 percent by 1990 (OECD, 2024), a near-doubling in one decade that redirected government resources from ED-amplifying investment to EE redistribution. Lifetime employment was institutionalized as the ‘Japanese model’ in the mid-1970s, severing the performance-reward linkage within corporations: wages and promotion became functions of tenure rather than performance, and exit became virtually impossible regardless of performance failure. The 1980 Large-Scale Retail Store Law (</w:t>
      </w:r>
      <w:r w:rsidRPr="00AD0FF4">
        <w:t>大規模小</w:t>
      </w:r>
      <w:r w:rsidRPr="00AD0FF4">
        <w:rPr>
          <w:rFonts w:ascii="Noto Sans KR" w:eastAsia="Noto Sans KR" w:hAnsi="Noto Sans KR" w:cs="Noto Sans KR" w:hint="eastAsia"/>
        </w:rPr>
        <w:t>売</w:t>
      </w:r>
      <w:r w:rsidRPr="00AD0FF4">
        <w:rPr>
          <w:rFonts w:ascii="맑은 고딕" w:eastAsia="맑은 고딕" w:hAnsi="맑은 고딕" w:cs="맑은 고딕" w:hint="eastAsia"/>
        </w:rPr>
        <w:t>店</w:t>
      </w:r>
      <w:r w:rsidRPr="00AD0FF4">
        <w:rPr>
          <w:rFonts w:ascii="MS Mincho" w:eastAsia="MS Mincho" w:hAnsi="MS Mincho" w:cs="MS Mincho" w:hint="eastAsia"/>
        </w:rPr>
        <w:t>舗</w:t>
      </w:r>
      <w:r w:rsidRPr="00AD0FF4">
        <w:rPr>
          <w:rFonts w:ascii="맑은 고딕" w:eastAsia="맑은 고딕" w:hAnsi="맑은 고딕" w:cs="맑은 고딕" w:hint="eastAsia"/>
        </w:rPr>
        <w:t>法</w:t>
      </w:r>
      <w:r w:rsidRPr="00AD0FF4">
        <w:t>) extended EE to the distribution sector, protecting inefficient small retailers from competitive displacement by higher-performing chains. These were not isolated policy decisions but a coherent EE institutional programme: the systematic reversal of the four-difference enlargement strategy that had produced Japan’s miracle.</w:t>
      </w:r>
    </w:p>
    <w:p w14:paraId="3D7EA94C" w14:textId="77777777" w:rsidR="006D4392" w:rsidRPr="00AD0FF4" w:rsidRDefault="00683A75" w:rsidP="00AD0FF4">
      <w:pPr>
        <w:spacing w:after="200" w:line="360" w:lineRule="auto"/>
        <w:jc w:val="both"/>
      </w:pPr>
      <w:r w:rsidRPr="00AD0FF4">
        <w:t xml:space="preserve">The Plaza Accord (September 1985) provided the financial catalyst that would transform the structural EE institutional drift into a full financial bubble. Yen appreciation from ¥240 to ¥150 per dollar compressed export profitability, prompting the Bank of Japan to cut the discount rate from 5.0 percent to a then-historic low of 2.5 percent by February 1987. This cheap money could not flow into export-performance investment — the yen appreciation had made that unattractive — and instead poured into land and equities, whose values still appeared guaranteed by government promise of equal development rather than by market performance. Urban commercial land prices rose fivefold from 1983 to 1991 (Japan Real Estate Institute, 2024). The Nikkei 225 </w:t>
      </w:r>
      <w:r w:rsidRPr="00AD0FF4">
        <w:lastRenderedPageBreak/>
        <w:t>peaked at 38,915 on December 29, 1989. At its peak, the land under the Imperial Palace in Tokyo was estimated to be worth more than all the real estate in California.</w:t>
      </w:r>
    </w:p>
    <w:p w14:paraId="3F31A0F3" w14:textId="77777777" w:rsidR="006D4392" w:rsidRPr="00AD0FF4" w:rsidRDefault="00683A75" w:rsidP="00AD0FF4">
      <w:pPr>
        <w:spacing w:after="200" w:line="360" w:lineRule="auto"/>
        <w:jc w:val="both"/>
      </w:pPr>
      <w:r w:rsidRPr="00AD0FF4">
        <w:t>The bubble is therefore not primarily a monetary phenomenon, as Krugman (1998) argues, nor a financial fragility phenomenon, as Hoshi and Kashyap (2004) argue. It is an institutional phenomenon with a precise political origin: Tanaka’s 1972 EE programme destroyed the market differentiation of land values by promising equal development across the national territory; the financial deregulation and monetary accommodation of the 1980s provided the liquidity to inflate the resulting speculative expectations. The bubble was the financial expression of fifteen years of EE institutionalization. This interpretation generates a decisive empirical prediction: if the bubble were merely financial, its collapse would produce a cyclical recession followed by recovery as credit conditions normalized. If it were institutional — the consequence of EE capture of the corporate economy — recovery would require institutional restoration of ED, which no amount of monetary or fiscal stimulus can provide. The Lost Decades confirm the institutional interpretation with precision.</w:t>
      </w:r>
    </w:p>
    <w:p w14:paraId="6DF86A09" w14:textId="77777777" w:rsidR="006D4392" w:rsidRPr="00AD0FF4" w:rsidRDefault="00683A75" w:rsidP="00AD0FF4">
      <w:pPr>
        <w:spacing w:before="300" w:after="150" w:line="360" w:lineRule="auto"/>
        <w:jc w:val="both"/>
      </w:pPr>
      <w:r w:rsidRPr="00AD0FF4">
        <w:rPr>
          <w:b/>
          <w:bCs/>
          <w:sz w:val="26"/>
          <w:szCs w:val="26"/>
        </w:rPr>
        <w:t>3.3 Phase 1 (1988–1991): The Bubble Era — Financial Inflation of an Institutionally Weakened Corporate Economy</w:t>
      </w:r>
    </w:p>
    <w:p w14:paraId="6E08BA5A" w14:textId="77777777" w:rsidR="006D4392" w:rsidRPr="00AD0FF4" w:rsidRDefault="00683A75" w:rsidP="00AD0FF4">
      <w:pPr>
        <w:spacing w:after="200" w:line="360" w:lineRule="auto"/>
        <w:jc w:val="both"/>
      </w:pPr>
      <w:r w:rsidRPr="00AD0FF4">
        <w:t>Phase 1 captures the final years of Japan’s corporate economy at its most asset-intensive — but under a fundamentally distorted institutional configuration. Per capita corporate assets grew at 17.8 percent per annum, nominally among the highest sustained CA growth rates in any advanced economy. However, this growth was financially inflated rather than institutionally grounded. The CA growth of Phase 1 reflects leverage-fuelled expansion of corporate balance sheets as land and equity values inflated, not the deepening of productive organizational capability that ED-driven CA growth produces. GDP growth remained at 4.6 percent annually, sustained by financial wealth effects and consumption rather than the export-performance–corporate investment nexus that had driven high growth. Beneath the surface, fifteen years of EE institutional accumulation had already substantially weakened the performance-reward linkage — in labour markets through lifetime employment, in credit markets through bank forbearance norms, and in government policy through regional equalisation subsidies. The bubble was inflating on an institutionally weakened foundation.</w:t>
      </w:r>
    </w:p>
    <w:p w14:paraId="5FE1FBDD" w14:textId="77777777" w:rsidR="006D4392" w:rsidRPr="00AD0FF4" w:rsidRDefault="00683A75" w:rsidP="00AD0FF4">
      <w:pPr>
        <w:spacing w:before="300" w:after="150" w:line="360" w:lineRule="auto"/>
        <w:jc w:val="both"/>
      </w:pPr>
      <w:r w:rsidRPr="00AD0FF4">
        <w:rPr>
          <w:b/>
          <w:bCs/>
          <w:sz w:val="26"/>
          <w:szCs w:val="26"/>
        </w:rPr>
        <w:lastRenderedPageBreak/>
        <w:t>3.4 Phase 2 (1992–2012): The Lost Decades — EE Completes its Institutional Capture</w:t>
      </w:r>
    </w:p>
    <w:p w14:paraId="7B884026" w14:textId="77777777" w:rsidR="006D4392" w:rsidRPr="00AD0FF4" w:rsidRDefault="00683A75" w:rsidP="00AD0FF4">
      <w:pPr>
        <w:spacing w:after="200" w:line="360" w:lineRule="auto"/>
        <w:jc w:val="both"/>
      </w:pPr>
      <w:r w:rsidRPr="00AD0FF4">
        <w:t>The bubble’s collapse — Nikkei falling from 38,915 (December 1989) to 14,309 (August 1992), land prices beginning a twenty-year decline that would ultimately erase 70–80 percent of their peak value — revealed what the bubble had concealed: the EE institutional erosion of Japan’s corporate economy was structural, not cyclical. The regression evidence is unambiguous: corporate asset elasticity of GDP growth collapsed from 0.229*** in Phase 1 to a statistically insignificant 0.018 in Phase 2 — a complete empirical severing of the corporate asset-growth relationship. This is the Lost Decades, confirmed with quantitative precision: the EE institutional capture of Japan’s corporate economy had made corporate asset accumulation irrelevant to output growth.</w:t>
      </w:r>
    </w:p>
    <w:p w14:paraId="3511DD1A" w14:textId="77777777" w:rsidR="006D4392" w:rsidRPr="00AD0FF4" w:rsidRDefault="00683A75" w:rsidP="00AD0FF4">
      <w:pPr>
        <w:spacing w:after="200" w:line="360" w:lineRule="auto"/>
        <w:jc w:val="both"/>
      </w:pPr>
      <w:r w:rsidRPr="00AD0FF4">
        <w:t>The policy response deepened rather than reversed the EE configuration through four reinforcing channels. First, banks extended forbearance credit to insolvent firms rather than recognizing losses: non-performing loans peaked at ¥52 trillion in 1995, approximately 10 percent of GDP, sustaining zombie firms estimated at 20–30 percent of listed companies by the early 2000s (Caballero, Hoshi, and Kashyap, 2008). This was EE in the banking sector: resources directed to underperforming firms to equalize their survival chances rather than to market-selected performers. Second, the lifetime employment norm and seniority wage system — already institutionalized as the ‘Japanese model’ in the 1970s — prevented the labour market reallocation that productivity recovery required, keeping workers in underperforming firms and sectors at wages unrelated to performance. Third, nine fiscal stimulus packages between 1992 and 2000, totalling over ¥100 trillion, directed resources primarily toward equalisation construction — regional roads, bridges, and public works that implemented the balanced development logic of Tanaka’s 1972 programme — rather than toward corporate asset deepening in high-return applications. Fourth, social expenditure continued rising from 11.3 percent of GDP in 1990 to 22.0 percent by 2010 (OECD, 2024), systematically deepening the EE institutional configuration even as the economy stagnated.</w:t>
      </w:r>
    </w:p>
    <w:p w14:paraId="095C0C7C" w14:textId="77777777" w:rsidR="006D4392" w:rsidRPr="00AD0FF4" w:rsidRDefault="00683A75" w:rsidP="00AD0FF4">
      <w:pPr>
        <w:spacing w:after="200" w:line="360" w:lineRule="auto"/>
        <w:jc w:val="both"/>
      </w:pPr>
      <w:r w:rsidRPr="00AD0FF4">
        <w:t>The Lost Decades were not two decades of bad luck or delayed adjustment. They were the structural consequence of the EE institutional capture that Tanaka’s programme initiated in 1972 and that successive governments deepened rather than reversed. By the time Abenomics arrived in 2013, Japan had spent forty years constructing an EE institutional architecture that monetary policy could not dismantle.</w:t>
      </w:r>
    </w:p>
    <w:p w14:paraId="2B57A2F3" w14:textId="77777777" w:rsidR="006D4392" w:rsidRPr="00AD0FF4" w:rsidRDefault="00683A75" w:rsidP="00AD0FF4">
      <w:pPr>
        <w:spacing w:before="300" w:after="150" w:line="360" w:lineRule="auto"/>
        <w:jc w:val="both"/>
      </w:pPr>
      <w:r w:rsidRPr="00AD0FF4">
        <w:rPr>
          <w:b/>
          <w:bCs/>
          <w:sz w:val="26"/>
          <w:szCs w:val="26"/>
        </w:rPr>
        <w:lastRenderedPageBreak/>
        <w:t>3.5 Phase 3 (2013–2021): Abenomics — Monetary Stimulus Cannot Substitute for ED Institutional Restoration</w:t>
      </w:r>
    </w:p>
    <w:p w14:paraId="5C131D11" w14:textId="77777777" w:rsidR="006D4392" w:rsidRPr="00AD0FF4" w:rsidRDefault="00683A75" w:rsidP="00AD0FF4">
      <w:pPr>
        <w:spacing w:after="200" w:line="360" w:lineRule="auto"/>
        <w:jc w:val="both"/>
      </w:pPr>
      <w:r w:rsidRPr="00AD0FF4">
        <w:t>Shinzo Abe’s election in December 2012 and the Bank of Japan’s Quantitative and Qualitative Easing (QQE) from April 2013 — expanding the monetary base at ¥60–70 trillion annually, achieving yen depreciation from ¥80 to ¥125 per dollar, and driving the Nikkei from 8,664 to above 20,000 — represented the most ambitious monetary stimulus experiment in modern economic history. The Three Arrows promised simultaneous reflation (arrow 1), fiscal stabilization (arrow 2), and structural reform (arrow 3). GTED generates a precise prediction about what Abenomics would and would not accomplish.</w:t>
      </w:r>
    </w:p>
    <w:p w14:paraId="644EF861" w14:textId="77777777" w:rsidR="006D4392" w:rsidRPr="00AD0FF4" w:rsidRDefault="00683A75" w:rsidP="00AD0FF4">
      <w:pPr>
        <w:spacing w:after="200" w:line="360" w:lineRule="auto"/>
        <w:jc w:val="both"/>
      </w:pPr>
      <w:r w:rsidRPr="00AD0FF4">
        <w:t>Monetary stimulus can reflate asset prices and temporarily restore some corporate asset growth by raising the market value of corporate balance sheets and improving export competitiveness through yen depreciation. What it cannot do is restore the performance-reward linkage that EE institutions have systematically severed over four decades — because that linkage is determined by the institutional architecture governing corporate metering, labour market incentives, credit allocation, and government support. None of these institutional fundamentals respond to QQE.</w:t>
      </w:r>
    </w:p>
    <w:p w14:paraId="449B8DF6" w14:textId="77777777" w:rsidR="006D4392" w:rsidRPr="00AD0FF4" w:rsidRDefault="00683A75" w:rsidP="00AD0FF4">
      <w:pPr>
        <w:spacing w:after="200" w:line="360" w:lineRule="auto"/>
        <w:jc w:val="both"/>
      </w:pPr>
      <w:r w:rsidRPr="00AD0FF4">
        <w:t>The empirical results confirm GTED’s prediction with exceptional precision. Phase 3 corporate asset elasticity of GDP growth recovers to 0.138*** — monetary accommodation and yen depreciation partially reactivated the corporate-growth relationship. But three institutional failures are simultaneously confirmed. First, corporate asset growth continues to widen rather than compress market inequality (CA→Gini: +0.043***): the co-prosperity that characterizes a mature ED corporate economy is not achieved, in striking contrast to China’s Xi phase where the same relationship turns negative (-0.038***). Second, the Gini intercept surges significantly in Phase 3, reflecting structural inequality deepening: labour market dualism intensified as irregular employment expanded from 20 percent of the workforce in 1990 to 37 percent by 2020, creating a persistent income gap between regular and irregular workers that monetary policy cannot close. Third, the EE institutional architecture — lifetime employment norms, zombie firm forbearance, regional equalisation subsidies, and welfare state expansion — remained fully intact throughout the Abenomics era. The third arrow’s structural reforms were largely abandoned precisely because they would have required dismantling the EE institutions that four decades of democratic politics had built and protected.</w:t>
      </w:r>
    </w:p>
    <w:p w14:paraId="1EA1DF5A" w14:textId="77777777" w:rsidR="006D4392" w:rsidRPr="00AD0FF4" w:rsidRDefault="00683A75" w:rsidP="00AD0FF4">
      <w:pPr>
        <w:spacing w:after="200" w:line="360" w:lineRule="auto"/>
        <w:jc w:val="both"/>
      </w:pPr>
      <w:r w:rsidRPr="00AD0FF4">
        <w:lastRenderedPageBreak/>
        <w:t>Abenomics thus confirmed the central GTED proposition for Japan: monetary stimulus is insufficient to escape the EE institutional trap that Tanaka’s 1972 programme launched. Japan’s escape from the Lost Decades requires not more stimulus but institutional restoration of ED — the reversal of the political EE capture that began when Japan chose egalitarianism over differentiation at the moment of its greatest success.</w:t>
      </w:r>
    </w:p>
    <w:p w14:paraId="43023006" w14:textId="77777777" w:rsidR="006D4392" w:rsidRPr="00AD0FF4" w:rsidRDefault="00683A75" w:rsidP="00AD0FF4">
      <w:pPr>
        <w:pStyle w:val="1"/>
        <w:spacing w:before="400" w:after="200" w:line="360" w:lineRule="auto"/>
        <w:jc w:val="both"/>
      </w:pPr>
      <w:r w:rsidRPr="00AD0FF4">
        <w:rPr>
          <w:rFonts w:eastAsia="Times New Roman"/>
          <w:b/>
          <w:bCs/>
          <w:sz w:val="28"/>
          <w:szCs w:val="28"/>
        </w:rPr>
        <w:t>4. Empirical Model Specification and Data</w:t>
      </w:r>
    </w:p>
    <w:p w14:paraId="45F93616" w14:textId="77777777" w:rsidR="006D4392" w:rsidRPr="00AD0FF4" w:rsidRDefault="00683A75" w:rsidP="00AD0FF4">
      <w:pPr>
        <w:pStyle w:val="2"/>
        <w:spacing w:before="300" w:after="150" w:line="360" w:lineRule="auto"/>
        <w:jc w:val="both"/>
      </w:pPr>
      <w:r w:rsidRPr="00AD0FF4">
        <w:rPr>
          <w:rFonts w:eastAsia="Times New Roman"/>
          <w:b/>
          <w:bCs/>
        </w:rPr>
        <w:t>4.1 Three-Regime Regression Model</w:t>
      </w:r>
    </w:p>
    <w:p w14:paraId="049CD704" w14:textId="77777777" w:rsidR="006D4392" w:rsidRPr="00AD0FF4" w:rsidRDefault="00683A75" w:rsidP="00AD0FF4">
      <w:pPr>
        <w:spacing w:after="200" w:line="360" w:lineRule="auto"/>
        <w:jc w:val="both"/>
      </w:pPr>
      <w:r w:rsidRPr="00AD0FF4">
        <w:rPr>
          <w:rFonts w:eastAsia="Times New Roman"/>
        </w:rPr>
        <w:t>Following the methodology of the GTED empirical program (Jwa, 2026b, 2026c), we estimate the following three-regime dummy-interaction model in log-log form:</w:t>
      </w:r>
    </w:p>
    <w:p w14:paraId="0FF172F2" w14:textId="77777777" w:rsidR="006D4392" w:rsidRPr="00AD0FF4" w:rsidRDefault="006D4392" w:rsidP="00AD0FF4">
      <w:pPr>
        <w:spacing w:after="200" w:line="360" w:lineRule="auto"/>
        <w:jc w:val="both"/>
      </w:pPr>
    </w:p>
    <w:p w14:paraId="3CD3741F" w14:textId="77777777" w:rsidR="006D4392" w:rsidRPr="00AD0FF4" w:rsidRDefault="00683A75" w:rsidP="00AD0FF4">
      <w:pPr>
        <w:spacing w:after="200" w:line="360" w:lineRule="auto"/>
        <w:jc w:val="both"/>
      </w:pPr>
      <w:r w:rsidRPr="00AD0FF4">
        <w:rPr>
          <w:rFonts w:eastAsia="Times New Roman"/>
          <w:i/>
          <w:iCs/>
        </w:rPr>
        <w:t>ln(Y</w:t>
      </w:r>
      <w:r w:rsidRPr="00AD0FF4">
        <w:rPr>
          <w:rFonts w:eastAsia="Times New Roman"/>
          <w:i/>
          <w:iCs/>
          <w:sz w:val="18"/>
          <w:szCs w:val="18"/>
        </w:rPr>
        <w:t>t</w:t>
      </w:r>
      <w:r w:rsidRPr="00AD0FF4">
        <w:rPr>
          <w:rFonts w:eastAsia="Times New Roman"/>
          <w:i/>
          <w:iCs/>
        </w:rPr>
        <w:t>) = α + β</w:t>
      </w:r>
      <w:r w:rsidRPr="00AD0FF4">
        <w:rPr>
          <w:rFonts w:eastAsia="Times New Roman"/>
          <w:i/>
          <w:iCs/>
          <w:sz w:val="18"/>
          <w:szCs w:val="18"/>
        </w:rPr>
        <w:t>1</w:t>
      </w:r>
      <w:r w:rsidRPr="00AD0FF4">
        <w:rPr>
          <w:rFonts w:eastAsia="Times New Roman"/>
          <w:i/>
          <w:iCs/>
        </w:rPr>
        <w:t>·L1.ln(CA</w:t>
      </w:r>
      <w:r w:rsidRPr="00AD0FF4">
        <w:rPr>
          <w:rFonts w:eastAsia="Times New Roman"/>
          <w:i/>
          <w:iCs/>
          <w:sz w:val="18"/>
          <w:szCs w:val="18"/>
        </w:rPr>
        <w:t>t</w:t>
      </w:r>
      <w:r w:rsidRPr="00AD0FF4">
        <w:rPr>
          <w:rFonts w:eastAsia="Times New Roman"/>
          <w:i/>
          <w:iCs/>
        </w:rPr>
        <w:t>) + β</w:t>
      </w:r>
      <w:r w:rsidRPr="00AD0FF4">
        <w:rPr>
          <w:rFonts w:eastAsia="Times New Roman"/>
          <w:i/>
          <w:iCs/>
          <w:sz w:val="18"/>
          <w:szCs w:val="18"/>
        </w:rPr>
        <w:t>2</w:t>
      </w:r>
      <w:r w:rsidRPr="00AD0FF4">
        <w:rPr>
          <w:rFonts w:eastAsia="Times New Roman"/>
          <w:i/>
          <w:iCs/>
        </w:rPr>
        <w:t>·L1.ln(giniratio</w:t>
      </w:r>
      <w:r w:rsidRPr="00AD0FF4">
        <w:rPr>
          <w:rFonts w:eastAsia="Times New Roman"/>
          <w:i/>
          <w:iCs/>
          <w:sz w:val="18"/>
          <w:szCs w:val="18"/>
        </w:rPr>
        <w:t>t</w:t>
      </w:r>
      <w:r w:rsidRPr="00AD0FF4">
        <w:rPr>
          <w:rFonts w:eastAsia="Times New Roman"/>
          <w:i/>
          <w:iCs/>
        </w:rPr>
        <w:t>) + β</w:t>
      </w:r>
      <w:r w:rsidRPr="00AD0FF4">
        <w:rPr>
          <w:rFonts w:eastAsia="Times New Roman"/>
          <w:i/>
          <w:iCs/>
          <w:sz w:val="18"/>
          <w:szCs w:val="18"/>
        </w:rPr>
        <w:t>3</w:t>
      </w:r>
      <w:r w:rsidRPr="00AD0FF4">
        <w:rPr>
          <w:rFonts w:eastAsia="Times New Roman"/>
          <w:i/>
          <w:iCs/>
        </w:rPr>
        <w:t>·L1.ln(openness</w:t>
      </w:r>
      <w:r w:rsidRPr="00AD0FF4">
        <w:rPr>
          <w:rFonts w:eastAsia="Times New Roman"/>
          <w:i/>
          <w:iCs/>
          <w:sz w:val="18"/>
          <w:szCs w:val="18"/>
        </w:rPr>
        <w:t>t</w:t>
      </w:r>
      <w:r w:rsidRPr="00AD0FF4">
        <w:rPr>
          <w:rFonts w:eastAsia="Times New Roman"/>
          <w:i/>
          <w:iCs/>
        </w:rPr>
        <w:t>) + β</w:t>
      </w:r>
      <w:r w:rsidRPr="00AD0FF4">
        <w:rPr>
          <w:rFonts w:eastAsia="Times New Roman"/>
          <w:i/>
          <w:iCs/>
          <w:sz w:val="18"/>
          <w:szCs w:val="18"/>
        </w:rPr>
        <w:t>4</w:t>
      </w:r>
      <w:r w:rsidRPr="00AD0FF4">
        <w:rPr>
          <w:rFonts w:eastAsia="Times New Roman"/>
          <w:i/>
          <w:iCs/>
        </w:rPr>
        <w:t>·D1992 + β</w:t>
      </w:r>
      <w:r w:rsidRPr="00AD0FF4">
        <w:rPr>
          <w:rFonts w:eastAsia="Times New Roman"/>
          <w:i/>
          <w:iCs/>
          <w:sz w:val="18"/>
          <w:szCs w:val="18"/>
        </w:rPr>
        <w:t>5</w:t>
      </w:r>
      <w:r w:rsidRPr="00AD0FF4">
        <w:rPr>
          <w:rFonts w:eastAsia="Times New Roman"/>
          <w:i/>
          <w:iCs/>
        </w:rPr>
        <w:t>·D2013 + β</w:t>
      </w:r>
      <w:r w:rsidRPr="00AD0FF4">
        <w:rPr>
          <w:rFonts w:eastAsia="Times New Roman"/>
          <w:i/>
          <w:iCs/>
          <w:sz w:val="18"/>
          <w:szCs w:val="18"/>
        </w:rPr>
        <w:t>6</w:t>
      </w:r>
      <w:r w:rsidRPr="00AD0FF4">
        <w:rPr>
          <w:rFonts w:eastAsia="Times New Roman"/>
          <w:i/>
          <w:iCs/>
        </w:rPr>
        <w:t>·D1992×L1.ln(CA) + β</w:t>
      </w:r>
      <w:r w:rsidRPr="00AD0FF4">
        <w:rPr>
          <w:rFonts w:eastAsia="Times New Roman"/>
          <w:i/>
          <w:iCs/>
          <w:sz w:val="18"/>
          <w:szCs w:val="18"/>
        </w:rPr>
        <w:t>7</w:t>
      </w:r>
      <w:r w:rsidRPr="00AD0FF4">
        <w:rPr>
          <w:rFonts w:eastAsia="Times New Roman"/>
          <w:i/>
          <w:iCs/>
        </w:rPr>
        <w:t>·D2013×L1.ln(CA) + β</w:t>
      </w:r>
      <w:r w:rsidRPr="00AD0FF4">
        <w:rPr>
          <w:rFonts w:eastAsia="Times New Roman"/>
          <w:i/>
          <w:iCs/>
          <w:sz w:val="18"/>
          <w:szCs w:val="18"/>
        </w:rPr>
        <w:t>8</w:t>
      </w:r>
      <w:r w:rsidRPr="00AD0FF4">
        <w:rPr>
          <w:rFonts w:eastAsia="Times New Roman"/>
          <w:i/>
          <w:iCs/>
        </w:rPr>
        <w:t>·D1992×L1.ln(giniratio) + β</w:t>
      </w:r>
      <w:r w:rsidRPr="00AD0FF4">
        <w:rPr>
          <w:rFonts w:eastAsia="Times New Roman"/>
          <w:i/>
          <w:iCs/>
          <w:sz w:val="18"/>
          <w:szCs w:val="18"/>
        </w:rPr>
        <w:t>9</w:t>
      </w:r>
      <w:r w:rsidRPr="00AD0FF4">
        <w:rPr>
          <w:rFonts w:eastAsia="Times New Roman"/>
          <w:i/>
          <w:iCs/>
        </w:rPr>
        <w:t>·D2013×L1.ln(giniratio) + β</w:t>
      </w:r>
      <w:r w:rsidRPr="00AD0FF4">
        <w:rPr>
          <w:rFonts w:eastAsia="Times New Roman"/>
          <w:i/>
          <w:iCs/>
          <w:sz w:val="18"/>
          <w:szCs w:val="18"/>
        </w:rPr>
        <w:t>10</w:t>
      </w:r>
      <w:r w:rsidRPr="00AD0FF4">
        <w:rPr>
          <w:rFonts w:eastAsia="Times New Roman"/>
          <w:i/>
          <w:iCs/>
        </w:rPr>
        <w:t>·D1992×L1.ln(openness) + β</w:t>
      </w:r>
      <w:r w:rsidRPr="00AD0FF4">
        <w:rPr>
          <w:rFonts w:eastAsia="Times New Roman"/>
          <w:i/>
          <w:iCs/>
          <w:sz w:val="18"/>
          <w:szCs w:val="18"/>
        </w:rPr>
        <w:t>11</w:t>
      </w:r>
      <w:r w:rsidRPr="00AD0FF4">
        <w:rPr>
          <w:rFonts w:eastAsia="Times New Roman"/>
          <w:i/>
          <w:iCs/>
        </w:rPr>
        <w:t>·D2013×L1.ln(openness) + ε</w:t>
      </w:r>
      <w:r w:rsidRPr="00AD0FF4">
        <w:rPr>
          <w:rFonts w:eastAsia="Times New Roman"/>
          <w:i/>
          <w:iCs/>
          <w:sz w:val="18"/>
          <w:szCs w:val="18"/>
        </w:rPr>
        <w:t>t</w:t>
      </w:r>
    </w:p>
    <w:p w14:paraId="171AAAAC" w14:textId="77777777" w:rsidR="006D4392" w:rsidRPr="00AD0FF4" w:rsidRDefault="006D4392" w:rsidP="00AD0FF4">
      <w:pPr>
        <w:spacing w:after="200" w:line="360" w:lineRule="auto"/>
        <w:jc w:val="both"/>
      </w:pPr>
    </w:p>
    <w:p w14:paraId="7512410D" w14:textId="77777777" w:rsidR="006D4392" w:rsidRPr="00AD0FF4" w:rsidRDefault="00683A75" w:rsidP="00AD0FF4">
      <w:pPr>
        <w:spacing w:after="200" w:line="360" w:lineRule="auto"/>
        <w:jc w:val="both"/>
      </w:pPr>
      <w:r w:rsidRPr="00AD0FF4">
        <w:rPr>
          <w:rFonts w:eastAsia="Times New Roman"/>
        </w:rPr>
        <w:t>where Y is either per capita real GDP (pcRGDP_USD) or market income Gini coefficient; D1992 and D2013 are regime dummies set to 1 from 1992 and 2013 respectively. All continuous regressors enter with one lag to mitigate simultaneity. Phase-specific total effects are recovered by linear combination: Phase 1 CA effect = β₁; Phase 2 = β₁+β₆; Phase 3 = β₁+β₆+β₇. Standard errors are HAC (Newey-West, maxlags=3) to address serial correlation confirmed by DW statistics.</w:t>
      </w:r>
    </w:p>
    <w:p w14:paraId="5856953E" w14:textId="77777777" w:rsidR="006D4392" w:rsidRPr="00AD0FF4" w:rsidRDefault="00683A75" w:rsidP="00AD0FF4">
      <w:pPr>
        <w:pStyle w:val="2"/>
        <w:spacing w:before="300" w:after="150" w:line="360" w:lineRule="auto"/>
        <w:jc w:val="both"/>
      </w:pPr>
      <w:r w:rsidRPr="00AD0FF4">
        <w:rPr>
          <w:rFonts w:eastAsia="Times New Roman"/>
          <w:b/>
          <w:bCs/>
        </w:rPr>
        <w:t>4.2 Structural Break Justification</w:t>
      </w:r>
    </w:p>
    <w:p w14:paraId="0CA85FBE" w14:textId="77777777" w:rsidR="006D4392" w:rsidRPr="00AD0FF4" w:rsidRDefault="00683A75" w:rsidP="00AD0FF4">
      <w:pPr>
        <w:spacing w:after="200" w:line="360" w:lineRule="auto"/>
        <w:jc w:val="both"/>
      </w:pPr>
      <w:r w:rsidRPr="00AD0FF4">
        <w:rPr>
          <w:rFonts w:eastAsia="Times New Roman"/>
        </w:rPr>
        <w:t xml:space="preserve">The two structural breaks are grounded in Japan's institutional history. D1992 marks the onset of the Lost Decades: the Nikkei 225 peaked in December 1989, land prices peaked in 1991, and the non-performing loan crisis became structurally manifest in 1992 as the Ministry of Finance's forbearance policy became institutionally entrenched. This break marks the transition from ED heritage to EE capture. D2013 marks the Abenomics inflection: Prime Minister Abe's election in December 2012 and the Bank of Japan's QQE from April 2013 represented a discrete institutional </w:t>
      </w:r>
      <w:r w:rsidRPr="00AD0FF4">
        <w:rPr>
          <w:rFonts w:eastAsia="Times New Roman"/>
        </w:rPr>
        <w:lastRenderedPageBreak/>
        <w:t>intervention. Chow structural break tests confirm both years as statistically significant discontinuities in the data-generating process.</w:t>
      </w:r>
    </w:p>
    <w:p w14:paraId="326DA4EF" w14:textId="77777777" w:rsidR="006D4392" w:rsidRPr="00AD0FF4" w:rsidRDefault="00683A75" w:rsidP="00AD0FF4">
      <w:pPr>
        <w:pStyle w:val="2"/>
        <w:spacing w:before="300" w:after="150" w:line="360" w:lineRule="auto"/>
        <w:jc w:val="both"/>
      </w:pPr>
      <w:r w:rsidRPr="00AD0FF4">
        <w:rPr>
          <w:rFonts w:eastAsia="Times New Roman"/>
          <w:b/>
          <w:bCs/>
        </w:rPr>
        <w:t>4.3 Variables and Data Sources</w:t>
      </w:r>
    </w:p>
    <w:p w14:paraId="335D4568" w14:textId="77777777" w:rsidR="006D4392" w:rsidRPr="00AD0FF4" w:rsidRDefault="00683A75" w:rsidP="00AD0FF4">
      <w:pPr>
        <w:spacing w:after="200" w:line="360" w:lineRule="auto"/>
        <w:jc w:val="both"/>
      </w:pPr>
      <w:r w:rsidRPr="00AD0FF4">
        <w:rPr>
          <w:rFonts w:eastAsia="Times New Roman"/>
        </w:rPr>
        <w:t>Per capita corporate assets (pcCA_USD) are constructed from Compustat Global as total assets of listed Japanese firms in constant 2015 USD, divided by population. This variable captures the organizational depth of the Japanese economy — the accumulated stock of physical capital, knowledge, and organizational capability brought within corporate governance structures. The Compustat Global series covers Japanese listed companies from 1987, providing the longest available consistent balance-sheet series for Japan's corporate sector.</w:t>
      </w:r>
    </w:p>
    <w:p w14:paraId="1C3C85CB" w14:textId="77777777" w:rsidR="006D4392" w:rsidRPr="00AD0FF4" w:rsidRDefault="00683A75" w:rsidP="00AD0FF4">
      <w:pPr>
        <w:spacing w:after="200" w:line="360" w:lineRule="auto"/>
        <w:jc w:val="both"/>
      </w:pPr>
      <w:r>
        <w:t>The EE intensity measure is giniratio = Mgini/Dgini, sourced from the Standardized World Income Inequality Database (SWIID; Solt, 2024). A higher giniratio signals stronger redistribution — Mgini more unequal than Dgini — indicating EE institutional dominance. The institutional parameter θ indexes the ED/EE balance of an economy, emerging from the dynamic interaction between the corporate sector’s natural ED metering behavior and politically imposed EE constraints. Higher θ reflects stronger net ED; lower θ reflects stronger net EE. giniratio serves as one empirical EE intensity indicator in estimation, capturing the redistribution dimension of θ — though θ itself is broader than any single proxy.</w:t>
      </w:r>
    </w:p>
    <w:p w14:paraId="58E57C82" w14:textId="77777777" w:rsidR="006D4392" w:rsidRPr="00AD0FF4" w:rsidRDefault="00683A75" w:rsidP="00AD0FF4">
      <w:pPr>
        <w:spacing w:after="200" w:line="360" w:lineRule="auto"/>
        <w:jc w:val="both"/>
      </w:pPr>
      <w:r w:rsidRPr="00AD0FF4">
        <w:rPr>
          <w:rFonts w:eastAsia="Times New Roman"/>
        </w:rPr>
        <w:t>Trade openness — (X+M)/GDP from World Bank WDI (corrected series) — enters as a control variable. Per capita real GDP (constant 2015 USD) from World Bank WDI serves as the primary growth outcome variable. All variables enter in natural logarithm, with continuous regressors lagged one year.</w:t>
      </w:r>
    </w:p>
    <w:p w14:paraId="76E6772B" w14:textId="77777777" w:rsidR="006D4392" w:rsidRPr="00AD0FF4" w:rsidRDefault="006D4392" w:rsidP="00AD0FF4">
      <w:pPr>
        <w:spacing w:after="200" w:line="360" w:lineRule="auto"/>
        <w:jc w:val="both"/>
      </w:pPr>
    </w:p>
    <w:p w14:paraId="027694B3" w14:textId="77777777" w:rsidR="006D4392" w:rsidRPr="00AD0FF4" w:rsidRDefault="00683A75" w:rsidP="00AD0FF4">
      <w:pPr>
        <w:pStyle w:val="1"/>
        <w:spacing w:before="400" w:after="200" w:line="360" w:lineRule="auto"/>
        <w:jc w:val="both"/>
      </w:pPr>
      <w:r w:rsidRPr="00AD0FF4">
        <w:rPr>
          <w:rFonts w:eastAsia="Times New Roman"/>
          <w:b/>
          <w:bCs/>
          <w:sz w:val="28"/>
          <w:szCs w:val="28"/>
        </w:rPr>
        <w:t>5. Empirical Results</w:t>
      </w:r>
    </w:p>
    <w:p w14:paraId="1A33560B" w14:textId="77777777" w:rsidR="006D4392" w:rsidRPr="00AD0FF4" w:rsidRDefault="00683A75" w:rsidP="00AD0FF4">
      <w:pPr>
        <w:pStyle w:val="2"/>
        <w:spacing w:before="300" w:after="150" w:line="360" w:lineRule="auto"/>
        <w:jc w:val="both"/>
      </w:pPr>
      <w:r w:rsidRPr="00AD0FF4">
        <w:rPr>
          <w:rFonts w:eastAsia="Times New Roman"/>
          <w:b/>
          <w:bCs/>
        </w:rPr>
        <w:t>5.1 Regression Tables</w:t>
      </w:r>
    </w:p>
    <w:p w14:paraId="3E78B49F" w14:textId="77777777" w:rsidR="006D4392" w:rsidRPr="00AD0FF4" w:rsidRDefault="00683A75" w:rsidP="00AD0FF4">
      <w:pPr>
        <w:spacing w:after="200" w:line="360" w:lineRule="auto"/>
        <w:jc w:val="both"/>
      </w:pPr>
      <w:r w:rsidRPr="00AD0FF4">
        <w:rPr>
          <w:rFonts w:eastAsia="Times New Roman"/>
        </w:rPr>
        <w:t xml:space="preserve">Table 1 presents the full regression results for the GDP and Gini equations with both HC1 and HAC standard errors. Table 3 presents the phase-specific cumulative total effects recovered by </w:t>
      </w:r>
      <w:r w:rsidRPr="00AD0FF4">
        <w:rPr>
          <w:rFonts w:eastAsia="Times New Roman"/>
        </w:rPr>
        <w:lastRenderedPageBreak/>
        <w:t>linear combination — the primary vehicle for GTED interpretation.</w:t>
      </w:r>
    </w:p>
    <w:p w14:paraId="37B61353" w14:textId="77777777" w:rsidR="006D4392" w:rsidRPr="00AD0FF4" w:rsidRDefault="006D4392" w:rsidP="00AD0FF4">
      <w:pPr>
        <w:spacing w:after="200" w:line="360" w:lineRule="auto"/>
        <w:jc w:val="both"/>
      </w:pPr>
    </w:p>
    <w:p w14:paraId="5F102FA4" w14:textId="77777777" w:rsidR="006D4392" w:rsidRPr="00AD0FF4" w:rsidRDefault="00683A75" w:rsidP="00AD0FF4">
      <w:pPr>
        <w:spacing w:after="200" w:line="360" w:lineRule="auto"/>
        <w:jc w:val="both"/>
      </w:pPr>
      <w:r w:rsidRPr="00AD0FF4">
        <w:rPr>
          <w:rFonts w:eastAsia="Times New Roman"/>
          <w:b/>
          <w:bCs/>
          <w:sz w:val="22"/>
          <w:szCs w:val="22"/>
        </w:rPr>
        <w:t>Table 1: GDP Equation — ln(pcRGDP_USD)</w:t>
      </w:r>
    </w:p>
    <w:p w14:paraId="0B009447" w14:textId="77777777" w:rsidR="006D4392" w:rsidRPr="00AD0FF4" w:rsidRDefault="00683A75" w:rsidP="00AD0FF4">
      <w:pPr>
        <w:spacing w:after="200" w:line="360" w:lineRule="auto"/>
        <w:jc w:val="both"/>
      </w:pPr>
      <w:r w:rsidRPr="00AD0FF4">
        <w:rPr>
          <w:rFonts w:eastAsia="Times New Roman"/>
          <w:sz w:val="18"/>
          <w:szCs w:val="18"/>
        </w:rPr>
        <w:t>Sample: N=34, 1988–2021 | Structural breaks: D1992, D2013</w:t>
      </w:r>
    </w:p>
    <w:p w14:paraId="30451846" w14:textId="77777777" w:rsidR="006D4392" w:rsidRPr="00AD0FF4" w:rsidRDefault="006D4392" w:rsidP="00AD0FF4">
      <w:pPr>
        <w:spacing w:after="200" w:line="360" w:lineRule="auto"/>
        <w:jc w:val="both"/>
      </w:pPr>
    </w:p>
    <w:tbl>
      <w:tblPr>
        <w:tblW w:w="87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1500"/>
        <w:gridCol w:w="1200"/>
        <w:gridCol w:w="900"/>
        <w:gridCol w:w="1200"/>
        <w:gridCol w:w="900"/>
      </w:tblGrid>
      <w:tr w:rsidR="006D4392" w:rsidRPr="00AD0FF4" w14:paraId="06591A09" w14:textId="77777777">
        <w:tc>
          <w:tcPr>
            <w:tcW w:w="3000" w:type="dxa"/>
            <w:tcBorders>
              <w:top w:val="single" w:sz="4" w:space="0" w:color="2E4B8F"/>
              <w:left w:val="single" w:sz="4" w:space="0" w:color="2E4B8F"/>
              <w:bottom w:val="single" w:sz="4" w:space="0" w:color="2E4B8F"/>
              <w:right w:val="single" w:sz="4" w:space="0" w:color="2E4B8F"/>
            </w:tcBorders>
            <w:shd w:val="clear" w:color="auto" w:fill="2E4B8F"/>
          </w:tcPr>
          <w:p w14:paraId="65C0FCE9" w14:textId="77777777" w:rsidR="006D4392" w:rsidRPr="00AD0FF4" w:rsidRDefault="00683A75" w:rsidP="00AD0FF4">
            <w:pPr>
              <w:spacing w:after="200" w:line="360" w:lineRule="auto"/>
              <w:jc w:val="both"/>
            </w:pPr>
            <w:r w:rsidRPr="00AD0FF4">
              <w:rPr>
                <w:rFonts w:eastAsia="Times New Roman"/>
                <w:b/>
                <w:bCs/>
                <w:color w:val="FFFFFF"/>
                <w:sz w:val="18"/>
                <w:szCs w:val="18"/>
              </w:rPr>
              <w:t>Variable</w:t>
            </w:r>
          </w:p>
        </w:tc>
        <w:tc>
          <w:tcPr>
            <w:tcW w:w="1500" w:type="dxa"/>
            <w:tcBorders>
              <w:top w:val="single" w:sz="4" w:space="0" w:color="2E4B8F"/>
              <w:left w:val="single" w:sz="4" w:space="0" w:color="2E4B8F"/>
              <w:bottom w:val="single" w:sz="4" w:space="0" w:color="2E4B8F"/>
              <w:right w:val="single" w:sz="4" w:space="0" w:color="2E4B8F"/>
            </w:tcBorders>
            <w:shd w:val="clear" w:color="auto" w:fill="2E4B8F"/>
          </w:tcPr>
          <w:p w14:paraId="37B35B6D" w14:textId="77777777" w:rsidR="006D4392" w:rsidRPr="00AD0FF4" w:rsidRDefault="00683A75" w:rsidP="00AD0FF4">
            <w:pPr>
              <w:spacing w:after="200" w:line="360" w:lineRule="auto"/>
              <w:jc w:val="both"/>
            </w:pPr>
            <w:r w:rsidRPr="00AD0FF4">
              <w:rPr>
                <w:rFonts w:eastAsia="Times New Roman"/>
                <w:b/>
                <w:bCs/>
                <w:color w:val="FFFFFF"/>
                <w:sz w:val="18"/>
                <w:szCs w:val="18"/>
              </w:rPr>
              <w:t>Coef.</w:t>
            </w:r>
          </w:p>
        </w:tc>
        <w:tc>
          <w:tcPr>
            <w:tcW w:w="1200" w:type="dxa"/>
            <w:tcBorders>
              <w:top w:val="single" w:sz="4" w:space="0" w:color="2E4B8F"/>
              <w:left w:val="single" w:sz="4" w:space="0" w:color="2E4B8F"/>
              <w:bottom w:val="single" w:sz="4" w:space="0" w:color="2E4B8F"/>
              <w:right w:val="single" w:sz="4" w:space="0" w:color="2E4B8F"/>
            </w:tcBorders>
            <w:shd w:val="clear" w:color="auto" w:fill="2E4B8F"/>
          </w:tcPr>
          <w:p w14:paraId="76C723D6" w14:textId="77777777" w:rsidR="006D4392" w:rsidRPr="00AD0FF4" w:rsidRDefault="00683A75" w:rsidP="00AD0FF4">
            <w:pPr>
              <w:spacing w:after="200" w:line="360" w:lineRule="auto"/>
              <w:jc w:val="both"/>
            </w:pPr>
            <w:r w:rsidRPr="00AD0FF4">
              <w:rPr>
                <w:rFonts w:eastAsia="Times New Roman"/>
                <w:b/>
                <w:bCs/>
                <w:color w:val="FFFFFF"/>
                <w:sz w:val="18"/>
                <w:szCs w:val="18"/>
              </w:rPr>
              <w:t>HC1 SE</w:t>
            </w:r>
          </w:p>
        </w:tc>
        <w:tc>
          <w:tcPr>
            <w:tcW w:w="900" w:type="dxa"/>
            <w:tcBorders>
              <w:top w:val="single" w:sz="4" w:space="0" w:color="2E4B8F"/>
              <w:left w:val="single" w:sz="4" w:space="0" w:color="2E4B8F"/>
              <w:bottom w:val="single" w:sz="4" w:space="0" w:color="2E4B8F"/>
              <w:right w:val="single" w:sz="4" w:space="0" w:color="2E4B8F"/>
            </w:tcBorders>
            <w:shd w:val="clear" w:color="auto" w:fill="2E4B8F"/>
          </w:tcPr>
          <w:p w14:paraId="50B6AE45" w14:textId="77777777" w:rsidR="006D4392" w:rsidRPr="00AD0FF4" w:rsidRDefault="00683A75" w:rsidP="00AD0FF4">
            <w:pPr>
              <w:spacing w:after="200" w:line="360" w:lineRule="auto"/>
              <w:jc w:val="both"/>
            </w:pPr>
            <w:r w:rsidRPr="00AD0FF4">
              <w:rPr>
                <w:rFonts w:eastAsia="Times New Roman"/>
                <w:b/>
                <w:bCs/>
                <w:color w:val="FFFFFF"/>
                <w:sz w:val="18"/>
                <w:szCs w:val="18"/>
              </w:rPr>
              <w:t>Sig.</w:t>
            </w:r>
          </w:p>
        </w:tc>
        <w:tc>
          <w:tcPr>
            <w:tcW w:w="1200" w:type="dxa"/>
            <w:tcBorders>
              <w:top w:val="single" w:sz="4" w:space="0" w:color="2E4B8F"/>
              <w:left w:val="single" w:sz="4" w:space="0" w:color="2E4B8F"/>
              <w:bottom w:val="single" w:sz="4" w:space="0" w:color="2E4B8F"/>
              <w:right w:val="single" w:sz="4" w:space="0" w:color="2E4B8F"/>
            </w:tcBorders>
            <w:shd w:val="clear" w:color="auto" w:fill="2E4B8F"/>
          </w:tcPr>
          <w:p w14:paraId="0B486BB4" w14:textId="77777777" w:rsidR="006D4392" w:rsidRPr="00AD0FF4" w:rsidRDefault="00683A75" w:rsidP="00AD0FF4">
            <w:pPr>
              <w:spacing w:after="200" w:line="360" w:lineRule="auto"/>
              <w:jc w:val="both"/>
            </w:pPr>
            <w:r w:rsidRPr="00AD0FF4">
              <w:rPr>
                <w:rFonts w:eastAsia="Times New Roman"/>
                <w:b/>
                <w:bCs/>
                <w:color w:val="FFFFFF"/>
                <w:sz w:val="18"/>
                <w:szCs w:val="18"/>
              </w:rPr>
              <w:t>HAC SE</w:t>
            </w:r>
          </w:p>
        </w:tc>
        <w:tc>
          <w:tcPr>
            <w:tcW w:w="900" w:type="dxa"/>
            <w:tcBorders>
              <w:top w:val="single" w:sz="4" w:space="0" w:color="2E4B8F"/>
              <w:left w:val="single" w:sz="4" w:space="0" w:color="2E4B8F"/>
              <w:bottom w:val="single" w:sz="4" w:space="0" w:color="2E4B8F"/>
              <w:right w:val="single" w:sz="4" w:space="0" w:color="2E4B8F"/>
            </w:tcBorders>
            <w:shd w:val="clear" w:color="auto" w:fill="2E4B8F"/>
          </w:tcPr>
          <w:p w14:paraId="74589BAC" w14:textId="77777777" w:rsidR="006D4392" w:rsidRPr="00AD0FF4" w:rsidRDefault="00683A75" w:rsidP="00AD0FF4">
            <w:pPr>
              <w:spacing w:after="200" w:line="360" w:lineRule="auto"/>
              <w:jc w:val="both"/>
            </w:pPr>
            <w:r w:rsidRPr="00AD0FF4">
              <w:rPr>
                <w:rFonts w:eastAsia="Times New Roman"/>
                <w:b/>
                <w:bCs/>
                <w:color w:val="FFFFFF"/>
                <w:sz w:val="18"/>
                <w:szCs w:val="18"/>
              </w:rPr>
              <w:t>Sig.</w:t>
            </w:r>
          </w:p>
        </w:tc>
      </w:tr>
      <w:tr w:rsidR="006D4392" w:rsidRPr="00AD0FF4" w14:paraId="61923289" w14:textId="77777777">
        <w:tc>
          <w:tcPr>
            <w:tcW w:w="3000" w:type="dxa"/>
            <w:tcBorders>
              <w:top w:val="single" w:sz="1" w:space="0" w:color="CCCCCC"/>
              <w:left w:val="single" w:sz="1" w:space="0" w:color="CCCCCC"/>
              <w:bottom w:val="single" w:sz="1" w:space="0" w:color="CCCCCC"/>
              <w:right w:val="single" w:sz="1" w:space="0" w:color="CCCCCC"/>
            </w:tcBorders>
            <w:shd w:val="clear" w:color="auto" w:fill="F5F7FA"/>
          </w:tcPr>
          <w:p w14:paraId="23488B2F" w14:textId="77777777" w:rsidR="006D4392" w:rsidRPr="00AD0FF4" w:rsidRDefault="00683A75" w:rsidP="00AD0FF4">
            <w:pPr>
              <w:spacing w:after="200" w:line="360" w:lineRule="auto"/>
              <w:jc w:val="both"/>
            </w:pPr>
            <w:r w:rsidRPr="00AD0FF4">
              <w:rPr>
                <w:rFonts w:eastAsia="Times New Roman"/>
                <w:sz w:val="18"/>
                <w:szCs w:val="18"/>
              </w:rPr>
              <w:t>Constant (α)</w:t>
            </w:r>
          </w:p>
        </w:tc>
        <w:tc>
          <w:tcPr>
            <w:tcW w:w="1500" w:type="dxa"/>
            <w:tcBorders>
              <w:top w:val="single" w:sz="1" w:space="0" w:color="CCCCCC"/>
              <w:left w:val="single" w:sz="1" w:space="0" w:color="CCCCCC"/>
              <w:bottom w:val="single" w:sz="1" w:space="0" w:color="CCCCCC"/>
              <w:right w:val="single" w:sz="1" w:space="0" w:color="CCCCCC"/>
            </w:tcBorders>
            <w:shd w:val="clear" w:color="auto" w:fill="F5F7FA"/>
          </w:tcPr>
          <w:p w14:paraId="31106197" w14:textId="77777777" w:rsidR="006D4392" w:rsidRPr="00AD0FF4" w:rsidRDefault="00683A75" w:rsidP="00AD0FF4">
            <w:pPr>
              <w:spacing w:after="200" w:line="360" w:lineRule="auto"/>
              <w:jc w:val="both"/>
            </w:pPr>
            <w:r w:rsidRPr="00AD0FF4">
              <w:rPr>
                <w:rFonts w:eastAsia="Times New Roman"/>
                <w:sz w:val="18"/>
                <w:szCs w:val="18"/>
              </w:rPr>
              <w:t>13.0756</w:t>
            </w:r>
          </w:p>
        </w:tc>
        <w:tc>
          <w:tcPr>
            <w:tcW w:w="1200" w:type="dxa"/>
            <w:tcBorders>
              <w:top w:val="single" w:sz="1" w:space="0" w:color="CCCCCC"/>
              <w:left w:val="single" w:sz="1" w:space="0" w:color="CCCCCC"/>
              <w:bottom w:val="single" w:sz="1" w:space="0" w:color="CCCCCC"/>
              <w:right w:val="single" w:sz="1" w:space="0" w:color="CCCCCC"/>
            </w:tcBorders>
            <w:shd w:val="clear" w:color="auto" w:fill="F5F7FA"/>
          </w:tcPr>
          <w:p w14:paraId="5C7CBDB0" w14:textId="77777777" w:rsidR="006D4392" w:rsidRPr="00AD0FF4" w:rsidRDefault="00683A75" w:rsidP="00AD0FF4">
            <w:pPr>
              <w:spacing w:after="200" w:line="360" w:lineRule="auto"/>
              <w:jc w:val="both"/>
            </w:pPr>
            <w:r w:rsidRPr="00AD0FF4">
              <w:rPr>
                <w:rFonts w:eastAsia="Times New Roman"/>
                <w:sz w:val="18"/>
                <w:szCs w:val="18"/>
              </w:rPr>
              <w:t>0.0000</w:t>
            </w:r>
          </w:p>
        </w:tc>
        <w:tc>
          <w:tcPr>
            <w:tcW w:w="900" w:type="dxa"/>
            <w:tcBorders>
              <w:top w:val="single" w:sz="1" w:space="0" w:color="CCCCCC"/>
              <w:left w:val="single" w:sz="1" w:space="0" w:color="CCCCCC"/>
              <w:bottom w:val="single" w:sz="1" w:space="0" w:color="CCCCCC"/>
              <w:right w:val="single" w:sz="1" w:space="0" w:color="CCCCCC"/>
            </w:tcBorders>
            <w:shd w:val="clear" w:color="auto" w:fill="F5F7FA"/>
          </w:tcPr>
          <w:p w14:paraId="3885EEFE" w14:textId="77777777" w:rsidR="006D4392" w:rsidRPr="00AD0FF4" w:rsidRDefault="00683A75" w:rsidP="00AD0FF4">
            <w:pPr>
              <w:spacing w:after="200" w:line="360" w:lineRule="auto"/>
              <w:jc w:val="both"/>
            </w:pPr>
            <w:r w:rsidRPr="00AD0FF4">
              <w:rPr>
                <w:rFonts w:eastAsia="Times New Roman"/>
                <w:sz w:val="18"/>
                <w:szCs w:val="18"/>
              </w:rPr>
              <w:t>***</w:t>
            </w:r>
          </w:p>
        </w:tc>
        <w:tc>
          <w:tcPr>
            <w:tcW w:w="1200" w:type="dxa"/>
            <w:tcBorders>
              <w:top w:val="single" w:sz="1" w:space="0" w:color="CCCCCC"/>
              <w:left w:val="single" w:sz="1" w:space="0" w:color="CCCCCC"/>
              <w:bottom w:val="single" w:sz="1" w:space="0" w:color="CCCCCC"/>
              <w:right w:val="single" w:sz="1" w:space="0" w:color="CCCCCC"/>
            </w:tcBorders>
            <w:shd w:val="clear" w:color="auto" w:fill="F5F7FA"/>
          </w:tcPr>
          <w:p w14:paraId="052E48E3" w14:textId="77777777" w:rsidR="006D4392" w:rsidRPr="00AD0FF4" w:rsidRDefault="00683A75" w:rsidP="00AD0FF4">
            <w:pPr>
              <w:spacing w:after="200" w:line="360" w:lineRule="auto"/>
              <w:jc w:val="both"/>
            </w:pPr>
            <w:r w:rsidRPr="00AD0FF4">
              <w:rPr>
                <w:rFonts w:eastAsia="Times New Roman"/>
                <w:sz w:val="18"/>
                <w:szCs w:val="18"/>
              </w:rPr>
              <w:t>0.0027</w:t>
            </w:r>
          </w:p>
        </w:tc>
        <w:tc>
          <w:tcPr>
            <w:tcW w:w="900" w:type="dxa"/>
            <w:tcBorders>
              <w:top w:val="single" w:sz="1" w:space="0" w:color="CCCCCC"/>
              <w:left w:val="single" w:sz="1" w:space="0" w:color="CCCCCC"/>
              <w:bottom w:val="single" w:sz="1" w:space="0" w:color="CCCCCC"/>
              <w:right w:val="single" w:sz="1" w:space="0" w:color="CCCCCC"/>
            </w:tcBorders>
            <w:shd w:val="clear" w:color="auto" w:fill="F5F7FA"/>
          </w:tcPr>
          <w:p w14:paraId="5BAEF24C" w14:textId="77777777" w:rsidR="006D4392" w:rsidRPr="00AD0FF4" w:rsidRDefault="00683A75" w:rsidP="00AD0FF4">
            <w:pPr>
              <w:spacing w:after="200" w:line="360" w:lineRule="auto"/>
              <w:jc w:val="both"/>
            </w:pPr>
            <w:r w:rsidRPr="00AD0FF4">
              <w:rPr>
                <w:rFonts w:eastAsia="Times New Roman"/>
                <w:sz w:val="18"/>
                <w:szCs w:val="18"/>
              </w:rPr>
              <w:t>***</w:t>
            </w:r>
          </w:p>
        </w:tc>
      </w:tr>
      <w:tr w:rsidR="006D4392" w:rsidRPr="00AD0FF4" w14:paraId="7EA9DF75" w14:textId="77777777">
        <w:tc>
          <w:tcPr>
            <w:tcW w:w="3000" w:type="dxa"/>
            <w:tcBorders>
              <w:top w:val="single" w:sz="1" w:space="0" w:color="CCCCCC"/>
              <w:left w:val="single" w:sz="1" w:space="0" w:color="CCCCCC"/>
              <w:bottom w:val="single" w:sz="1" w:space="0" w:color="CCCCCC"/>
              <w:right w:val="single" w:sz="1" w:space="0" w:color="CCCCCC"/>
            </w:tcBorders>
            <w:shd w:val="clear" w:color="auto" w:fill="FFFFFF"/>
          </w:tcPr>
          <w:p w14:paraId="40A9A54F" w14:textId="77777777" w:rsidR="006D4392" w:rsidRPr="00AD0FF4" w:rsidRDefault="00683A75" w:rsidP="00AD0FF4">
            <w:pPr>
              <w:spacing w:after="200" w:line="360" w:lineRule="auto"/>
              <w:jc w:val="both"/>
            </w:pPr>
            <w:r w:rsidRPr="00AD0FF4">
              <w:rPr>
                <w:rFonts w:eastAsia="Times New Roman"/>
                <w:sz w:val="18"/>
                <w:szCs w:val="18"/>
              </w:rPr>
              <w:t>L1.ln(CA)</w:t>
            </w:r>
          </w:p>
        </w:tc>
        <w:tc>
          <w:tcPr>
            <w:tcW w:w="1500" w:type="dxa"/>
            <w:tcBorders>
              <w:top w:val="single" w:sz="1" w:space="0" w:color="CCCCCC"/>
              <w:left w:val="single" w:sz="1" w:space="0" w:color="CCCCCC"/>
              <w:bottom w:val="single" w:sz="1" w:space="0" w:color="CCCCCC"/>
              <w:right w:val="single" w:sz="1" w:space="0" w:color="CCCCCC"/>
            </w:tcBorders>
            <w:shd w:val="clear" w:color="auto" w:fill="FFFFFF"/>
          </w:tcPr>
          <w:p w14:paraId="4737A4FC" w14:textId="77777777" w:rsidR="006D4392" w:rsidRPr="00AD0FF4" w:rsidRDefault="00683A75" w:rsidP="00AD0FF4">
            <w:pPr>
              <w:spacing w:after="200" w:line="360" w:lineRule="auto"/>
              <w:jc w:val="both"/>
            </w:pPr>
            <w:r w:rsidRPr="00AD0FF4">
              <w:rPr>
                <w:rFonts w:eastAsia="Times New Roman"/>
                <w:sz w:val="18"/>
                <w:szCs w:val="18"/>
              </w:rPr>
              <w:t>0.2293</w:t>
            </w:r>
          </w:p>
        </w:tc>
        <w:tc>
          <w:tcPr>
            <w:tcW w:w="1200" w:type="dxa"/>
            <w:tcBorders>
              <w:top w:val="single" w:sz="1" w:space="0" w:color="CCCCCC"/>
              <w:left w:val="single" w:sz="1" w:space="0" w:color="CCCCCC"/>
              <w:bottom w:val="single" w:sz="1" w:space="0" w:color="CCCCCC"/>
              <w:right w:val="single" w:sz="1" w:space="0" w:color="CCCCCC"/>
            </w:tcBorders>
            <w:shd w:val="clear" w:color="auto" w:fill="FFFFFF"/>
          </w:tcPr>
          <w:p w14:paraId="3CC136DB" w14:textId="77777777" w:rsidR="006D4392" w:rsidRPr="00AD0FF4" w:rsidRDefault="00683A75" w:rsidP="00AD0FF4">
            <w:pPr>
              <w:spacing w:after="200" w:line="360" w:lineRule="auto"/>
              <w:jc w:val="both"/>
            </w:pPr>
            <w:r w:rsidRPr="00AD0FF4">
              <w:rPr>
                <w:rFonts w:eastAsia="Times New Roman"/>
                <w:sz w:val="18"/>
                <w:szCs w:val="18"/>
              </w:rPr>
              <w:t>0.0000</w:t>
            </w:r>
          </w:p>
        </w:tc>
        <w:tc>
          <w:tcPr>
            <w:tcW w:w="900" w:type="dxa"/>
            <w:tcBorders>
              <w:top w:val="single" w:sz="1" w:space="0" w:color="CCCCCC"/>
              <w:left w:val="single" w:sz="1" w:space="0" w:color="CCCCCC"/>
              <w:bottom w:val="single" w:sz="1" w:space="0" w:color="CCCCCC"/>
              <w:right w:val="single" w:sz="1" w:space="0" w:color="CCCCCC"/>
            </w:tcBorders>
            <w:shd w:val="clear" w:color="auto" w:fill="FFFFFF"/>
          </w:tcPr>
          <w:p w14:paraId="5B624B32" w14:textId="77777777" w:rsidR="006D4392" w:rsidRPr="00AD0FF4" w:rsidRDefault="00683A75" w:rsidP="00AD0FF4">
            <w:pPr>
              <w:spacing w:after="200" w:line="360" w:lineRule="auto"/>
              <w:jc w:val="both"/>
            </w:pPr>
            <w:r w:rsidRPr="00AD0FF4">
              <w:rPr>
                <w:rFonts w:eastAsia="Times New Roman"/>
                <w:sz w:val="18"/>
                <w:szCs w:val="18"/>
              </w:rPr>
              <w:t>***</w:t>
            </w:r>
          </w:p>
        </w:tc>
        <w:tc>
          <w:tcPr>
            <w:tcW w:w="1200" w:type="dxa"/>
            <w:tcBorders>
              <w:top w:val="single" w:sz="1" w:space="0" w:color="CCCCCC"/>
              <w:left w:val="single" w:sz="1" w:space="0" w:color="CCCCCC"/>
              <w:bottom w:val="single" w:sz="1" w:space="0" w:color="CCCCCC"/>
              <w:right w:val="single" w:sz="1" w:space="0" w:color="CCCCCC"/>
            </w:tcBorders>
            <w:shd w:val="clear" w:color="auto" w:fill="FFFFFF"/>
          </w:tcPr>
          <w:p w14:paraId="64EB9C9F" w14:textId="77777777" w:rsidR="006D4392" w:rsidRPr="00AD0FF4" w:rsidRDefault="00683A75" w:rsidP="00AD0FF4">
            <w:pPr>
              <w:spacing w:after="200" w:line="360" w:lineRule="auto"/>
              <w:jc w:val="both"/>
            </w:pPr>
            <w:r w:rsidRPr="00AD0FF4">
              <w:rPr>
                <w:rFonts w:eastAsia="Times New Roman"/>
                <w:sz w:val="18"/>
                <w:szCs w:val="18"/>
              </w:rPr>
              <w:t>0.0000</w:t>
            </w:r>
          </w:p>
        </w:tc>
        <w:tc>
          <w:tcPr>
            <w:tcW w:w="900" w:type="dxa"/>
            <w:tcBorders>
              <w:top w:val="single" w:sz="1" w:space="0" w:color="CCCCCC"/>
              <w:left w:val="single" w:sz="1" w:space="0" w:color="CCCCCC"/>
              <w:bottom w:val="single" w:sz="1" w:space="0" w:color="CCCCCC"/>
              <w:right w:val="single" w:sz="1" w:space="0" w:color="CCCCCC"/>
            </w:tcBorders>
            <w:shd w:val="clear" w:color="auto" w:fill="FFFFFF"/>
          </w:tcPr>
          <w:p w14:paraId="3DE46956" w14:textId="77777777" w:rsidR="006D4392" w:rsidRPr="00AD0FF4" w:rsidRDefault="00683A75" w:rsidP="00AD0FF4">
            <w:pPr>
              <w:spacing w:after="200" w:line="360" w:lineRule="auto"/>
              <w:jc w:val="both"/>
            </w:pPr>
            <w:r w:rsidRPr="00AD0FF4">
              <w:rPr>
                <w:rFonts w:eastAsia="Times New Roman"/>
                <w:sz w:val="18"/>
                <w:szCs w:val="18"/>
              </w:rPr>
              <w:t>***</w:t>
            </w:r>
          </w:p>
        </w:tc>
      </w:tr>
      <w:tr w:rsidR="006D4392" w:rsidRPr="00AD0FF4" w14:paraId="1765D2CE" w14:textId="77777777">
        <w:tc>
          <w:tcPr>
            <w:tcW w:w="3000" w:type="dxa"/>
            <w:tcBorders>
              <w:top w:val="single" w:sz="1" w:space="0" w:color="CCCCCC"/>
              <w:left w:val="single" w:sz="1" w:space="0" w:color="CCCCCC"/>
              <w:bottom w:val="single" w:sz="1" w:space="0" w:color="CCCCCC"/>
              <w:right w:val="single" w:sz="1" w:space="0" w:color="CCCCCC"/>
            </w:tcBorders>
            <w:shd w:val="clear" w:color="auto" w:fill="F5F7FA"/>
          </w:tcPr>
          <w:p w14:paraId="55EE75D3" w14:textId="77777777" w:rsidR="006D4392" w:rsidRPr="00AD0FF4" w:rsidRDefault="00683A75" w:rsidP="00AD0FF4">
            <w:pPr>
              <w:spacing w:after="200" w:line="360" w:lineRule="auto"/>
              <w:jc w:val="both"/>
            </w:pPr>
            <w:r w:rsidRPr="00AD0FF4">
              <w:rPr>
                <w:rFonts w:eastAsia="Times New Roman"/>
                <w:sz w:val="18"/>
                <w:szCs w:val="18"/>
              </w:rPr>
              <w:t>L1.ln(GR)</w:t>
            </w:r>
          </w:p>
        </w:tc>
        <w:tc>
          <w:tcPr>
            <w:tcW w:w="1500" w:type="dxa"/>
            <w:tcBorders>
              <w:top w:val="single" w:sz="1" w:space="0" w:color="CCCCCC"/>
              <w:left w:val="single" w:sz="1" w:space="0" w:color="CCCCCC"/>
              <w:bottom w:val="single" w:sz="1" w:space="0" w:color="CCCCCC"/>
              <w:right w:val="single" w:sz="1" w:space="0" w:color="CCCCCC"/>
            </w:tcBorders>
            <w:shd w:val="clear" w:color="auto" w:fill="F5F7FA"/>
          </w:tcPr>
          <w:p w14:paraId="382B1644" w14:textId="77777777" w:rsidR="006D4392" w:rsidRPr="00AD0FF4" w:rsidRDefault="00683A75" w:rsidP="00AD0FF4">
            <w:pPr>
              <w:spacing w:after="200" w:line="360" w:lineRule="auto"/>
              <w:jc w:val="both"/>
            </w:pPr>
            <w:r w:rsidRPr="00AD0FF4">
              <w:rPr>
                <w:rFonts w:eastAsia="Times New Roman"/>
                <w:sz w:val="18"/>
                <w:szCs w:val="18"/>
              </w:rPr>
              <w:t>−1.6952</w:t>
            </w:r>
          </w:p>
        </w:tc>
        <w:tc>
          <w:tcPr>
            <w:tcW w:w="1200" w:type="dxa"/>
            <w:tcBorders>
              <w:top w:val="single" w:sz="1" w:space="0" w:color="CCCCCC"/>
              <w:left w:val="single" w:sz="1" w:space="0" w:color="CCCCCC"/>
              <w:bottom w:val="single" w:sz="1" w:space="0" w:color="CCCCCC"/>
              <w:right w:val="single" w:sz="1" w:space="0" w:color="CCCCCC"/>
            </w:tcBorders>
            <w:shd w:val="clear" w:color="auto" w:fill="F5F7FA"/>
          </w:tcPr>
          <w:p w14:paraId="6801F6C8" w14:textId="77777777" w:rsidR="006D4392" w:rsidRPr="00AD0FF4" w:rsidRDefault="00683A75" w:rsidP="00AD0FF4">
            <w:pPr>
              <w:spacing w:after="200" w:line="360" w:lineRule="auto"/>
              <w:jc w:val="both"/>
            </w:pPr>
            <w:r w:rsidRPr="00AD0FF4">
              <w:rPr>
                <w:rFonts w:eastAsia="Times New Roman"/>
                <w:sz w:val="18"/>
                <w:szCs w:val="18"/>
              </w:rPr>
              <w:t>0.0000</w:t>
            </w:r>
          </w:p>
        </w:tc>
        <w:tc>
          <w:tcPr>
            <w:tcW w:w="900" w:type="dxa"/>
            <w:tcBorders>
              <w:top w:val="single" w:sz="1" w:space="0" w:color="CCCCCC"/>
              <w:left w:val="single" w:sz="1" w:space="0" w:color="CCCCCC"/>
              <w:bottom w:val="single" w:sz="1" w:space="0" w:color="CCCCCC"/>
              <w:right w:val="single" w:sz="1" w:space="0" w:color="CCCCCC"/>
            </w:tcBorders>
            <w:shd w:val="clear" w:color="auto" w:fill="F5F7FA"/>
          </w:tcPr>
          <w:p w14:paraId="2E654CD2" w14:textId="77777777" w:rsidR="006D4392" w:rsidRPr="00AD0FF4" w:rsidRDefault="00683A75" w:rsidP="00AD0FF4">
            <w:pPr>
              <w:spacing w:after="200" w:line="360" w:lineRule="auto"/>
              <w:jc w:val="both"/>
            </w:pPr>
            <w:r w:rsidRPr="00AD0FF4">
              <w:rPr>
                <w:rFonts w:eastAsia="Times New Roman"/>
                <w:sz w:val="18"/>
                <w:szCs w:val="18"/>
              </w:rPr>
              <w:t>***</w:t>
            </w:r>
          </w:p>
        </w:tc>
        <w:tc>
          <w:tcPr>
            <w:tcW w:w="1200" w:type="dxa"/>
            <w:tcBorders>
              <w:top w:val="single" w:sz="1" w:space="0" w:color="CCCCCC"/>
              <w:left w:val="single" w:sz="1" w:space="0" w:color="CCCCCC"/>
              <w:bottom w:val="single" w:sz="1" w:space="0" w:color="CCCCCC"/>
              <w:right w:val="single" w:sz="1" w:space="0" w:color="CCCCCC"/>
            </w:tcBorders>
            <w:shd w:val="clear" w:color="auto" w:fill="F5F7FA"/>
          </w:tcPr>
          <w:p w14:paraId="7F40D8EB" w14:textId="77777777" w:rsidR="006D4392" w:rsidRPr="00AD0FF4" w:rsidRDefault="00683A75" w:rsidP="00AD0FF4">
            <w:pPr>
              <w:spacing w:after="200" w:line="360" w:lineRule="auto"/>
              <w:jc w:val="both"/>
            </w:pPr>
            <w:r w:rsidRPr="00AD0FF4">
              <w:rPr>
                <w:rFonts w:eastAsia="Times New Roman"/>
                <w:sz w:val="18"/>
                <w:szCs w:val="18"/>
              </w:rPr>
              <w:t>nan</w:t>
            </w:r>
          </w:p>
        </w:tc>
        <w:tc>
          <w:tcPr>
            <w:tcW w:w="900" w:type="dxa"/>
            <w:tcBorders>
              <w:top w:val="single" w:sz="1" w:space="0" w:color="CCCCCC"/>
              <w:left w:val="single" w:sz="1" w:space="0" w:color="CCCCCC"/>
              <w:bottom w:val="single" w:sz="1" w:space="0" w:color="CCCCCC"/>
              <w:right w:val="single" w:sz="1" w:space="0" w:color="CCCCCC"/>
            </w:tcBorders>
            <w:shd w:val="clear" w:color="auto" w:fill="F5F7FA"/>
          </w:tcPr>
          <w:p w14:paraId="75CEBE42" w14:textId="77777777" w:rsidR="006D4392" w:rsidRPr="00AD0FF4" w:rsidRDefault="00683A75" w:rsidP="00AD0FF4">
            <w:pPr>
              <w:spacing w:after="200" w:line="360" w:lineRule="auto"/>
              <w:jc w:val="both"/>
            </w:pPr>
            <w:r w:rsidRPr="00AD0FF4">
              <w:rPr>
                <w:rFonts w:eastAsia="Times New Roman"/>
                <w:sz w:val="18"/>
                <w:szCs w:val="18"/>
              </w:rPr>
              <w:t>n.s.</w:t>
            </w:r>
          </w:p>
        </w:tc>
      </w:tr>
      <w:tr w:rsidR="006D4392" w:rsidRPr="00AD0FF4" w14:paraId="2D8A9554" w14:textId="77777777">
        <w:tc>
          <w:tcPr>
            <w:tcW w:w="3000" w:type="dxa"/>
            <w:tcBorders>
              <w:top w:val="single" w:sz="1" w:space="0" w:color="CCCCCC"/>
              <w:left w:val="single" w:sz="1" w:space="0" w:color="CCCCCC"/>
              <w:bottom w:val="single" w:sz="1" w:space="0" w:color="CCCCCC"/>
              <w:right w:val="single" w:sz="1" w:space="0" w:color="CCCCCC"/>
            </w:tcBorders>
            <w:shd w:val="clear" w:color="auto" w:fill="FFFFFF"/>
          </w:tcPr>
          <w:p w14:paraId="3854E0CF" w14:textId="77777777" w:rsidR="006D4392" w:rsidRPr="00AD0FF4" w:rsidRDefault="00683A75" w:rsidP="00AD0FF4">
            <w:pPr>
              <w:spacing w:after="200" w:line="360" w:lineRule="auto"/>
              <w:jc w:val="both"/>
            </w:pPr>
            <w:r w:rsidRPr="00AD0FF4">
              <w:rPr>
                <w:rFonts w:eastAsia="Times New Roman"/>
                <w:sz w:val="18"/>
                <w:szCs w:val="18"/>
              </w:rPr>
              <w:t>L1.ln(Open)</w:t>
            </w:r>
          </w:p>
        </w:tc>
        <w:tc>
          <w:tcPr>
            <w:tcW w:w="1500" w:type="dxa"/>
            <w:tcBorders>
              <w:top w:val="single" w:sz="1" w:space="0" w:color="CCCCCC"/>
              <w:left w:val="single" w:sz="1" w:space="0" w:color="CCCCCC"/>
              <w:bottom w:val="single" w:sz="1" w:space="0" w:color="CCCCCC"/>
              <w:right w:val="single" w:sz="1" w:space="0" w:color="CCCCCC"/>
            </w:tcBorders>
            <w:shd w:val="clear" w:color="auto" w:fill="FFFFFF"/>
          </w:tcPr>
          <w:p w14:paraId="2B4132FA" w14:textId="77777777" w:rsidR="006D4392" w:rsidRPr="00AD0FF4" w:rsidRDefault="00683A75" w:rsidP="00AD0FF4">
            <w:pPr>
              <w:spacing w:after="200" w:line="360" w:lineRule="auto"/>
              <w:jc w:val="both"/>
            </w:pPr>
            <w:r w:rsidRPr="00AD0FF4">
              <w:rPr>
                <w:rFonts w:eastAsia="Times New Roman"/>
                <w:sz w:val="18"/>
                <w:szCs w:val="18"/>
              </w:rPr>
              <w:t>0.2897</w:t>
            </w:r>
          </w:p>
        </w:tc>
        <w:tc>
          <w:tcPr>
            <w:tcW w:w="1200" w:type="dxa"/>
            <w:tcBorders>
              <w:top w:val="single" w:sz="1" w:space="0" w:color="CCCCCC"/>
              <w:left w:val="single" w:sz="1" w:space="0" w:color="CCCCCC"/>
              <w:bottom w:val="single" w:sz="1" w:space="0" w:color="CCCCCC"/>
              <w:right w:val="single" w:sz="1" w:space="0" w:color="CCCCCC"/>
            </w:tcBorders>
            <w:shd w:val="clear" w:color="auto" w:fill="FFFFFF"/>
          </w:tcPr>
          <w:p w14:paraId="7F4D691F" w14:textId="77777777" w:rsidR="006D4392" w:rsidRPr="00AD0FF4" w:rsidRDefault="00683A75" w:rsidP="00AD0FF4">
            <w:pPr>
              <w:spacing w:after="200" w:line="360" w:lineRule="auto"/>
              <w:jc w:val="both"/>
            </w:pPr>
            <w:r w:rsidRPr="00AD0FF4">
              <w:rPr>
                <w:rFonts w:eastAsia="Times New Roman"/>
                <w:sz w:val="18"/>
                <w:szCs w:val="18"/>
              </w:rPr>
              <w:t>0.0000</w:t>
            </w:r>
          </w:p>
        </w:tc>
        <w:tc>
          <w:tcPr>
            <w:tcW w:w="900" w:type="dxa"/>
            <w:tcBorders>
              <w:top w:val="single" w:sz="1" w:space="0" w:color="CCCCCC"/>
              <w:left w:val="single" w:sz="1" w:space="0" w:color="CCCCCC"/>
              <w:bottom w:val="single" w:sz="1" w:space="0" w:color="CCCCCC"/>
              <w:right w:val="single" w:sz="1" w:space="0" w:color="CCCCCC"/>
            </w:tcBorders>
            <w:shd w:val="clear" w:color="auto" w:fill="FFFFFF"/>
          </w:tcPr>
          <w:p w14:paraId="57C6D554" w14:textId="77777777" w:rsidR="006D4392" w:rsidRPr="00AD0FF4" w:rsidRDefault="00683A75" w:rsidP="00AD0FF4">
            <w:pPr>
              <w:spacing w:after="200" w:line="360" w:lineRule="auto"/>
              <w:jc w:val="both"/>
            </w:pPr>
            <w:r w:rsidRPr="00AD0FF4">
              <w:rPr>
                <w:rFonts w:eastAsia="Times New Roman"/>
                <w:sz w:val="18"/>
                <w:szCs w:val="18"/>
              </w:rPr>
              <w:t>***</w:t>
            </w:r>
          </w:p>
        </w:tc>
        <w:tc>
          <w:tcPr>
            <w:tcW w:w="1200" w:type="dxa"/>
            <w:tcBorders>
              <w:top w:val="single" w:sz="1" w:space="0" w:color="CCCCCC"/>
              <w:left w:val="single" w:sz="1" w:space="0" w:color="CCCCCC"/>
              <w:bottom w:val="single" w:sz="1" w:space="0" w:color="CCCCCC"/>
              <w:right w:val="single" w:sz="1" w:space="0" w:color="CCCCCC"/>
            </w:tcBorders>
            <w:shd w:val="clear" w:color="auto" w:fill="FFFFFF"/>
          </w:tcPr>
          <w:p w14:paraId="01F2D627" w14:textId="77777777" w:rsidR="006D4392" w:rsidRPr="00AD0FF4" w:rsidRDefault="00683A75" w:rsidP="00AD0FF4">
            <w:pPr>
              <w:spacing w:after="200" w:line="360" w:lineRule="auto"/>
              <w:jc w:val="both"/>
            </w:pPr>
            <w:r w:rsidRPr="00AD0FF4">
              <w:rPr>
                <w:rFonts w:eastAsia="Times New Roman"/>
                <w:sz w:val="18"/>
                <w:szCs w:val="18"/>
              </w:rPr>
              <w:t>nan</w:t>
            </w:r>
          </w:p>
        </w:tc>
        <w:tc>
          <w:tcPr>
            <w:tcW w:w="900" w:type="dxa"/>
            <w:tcBorders>
              <w:top w:val="single" w:sz="1" w:space="0" w:color="CCCCCC"/>
              <w:left w:val="single" w:sz="1" w:space="0" w:color="CCCCCC"/>
              <w:bottom w:val="single" w:sz="1" w:space="0" w:color="CCCCCC"/>
              <w:right w:val="single" w:sz="1" w:space="0" w:color="CCCCCC"/>
            </w:tcBorders>
            <w:shd w:val="clear" w:color="auto" w:fill="FFFFFF"/>
          </w:tcPr>
          <w:p w14:paraId="5C0E5974" w14:textId="77777777" w:rsidR="006D4392" w:rsidRPr="00AD0FF4" w:rsidRDefault="00683A75" w:rsidP="00AD0FF4">
            <w:pPr>
              <w:spacing w:after="200" w:line="360" w:lineRule="auto"/>
              <w:jc w:val="both"/>
            </w:pPr>
            <w:r w:rsidRPr="00AD0FF4">
              <w:rPr>
                <w:rFonts w:eastAsia="Times New Roman"/>
                <w:sz w:val="18"/>
                <w:szCs w:val="18"/>
              </w:rPr>
              <w:t>n.s.</w:t>
            </w:r>
          </w:p>
        </w:tc>
      </w:tr>
      <w:tr w:rsidR="006D4392" w:rsidRPr="00AD0FF4" w14:paraId="28477429" w14:textId="77777777">
        <w:tc>
          <w:tcPr>
            <w:tcW w:w="3000" w:type="dxa"/>
            <w:tcBorders>
              <w:top w:val="single" w:sz="1" w:space="0" w:color="CCCCCC"/>
              <w:left w:val="single" w:sz="1" w:space="0" w:color="CCCCCC"/>
              <w:bottom w:val="single" w:sz="1" w:space="0" w:color="CCCCCC"/>
              <w:right w:val="single" w:sz="1" w:space="0" w:color="CCCCCC"/>
            </w:tcBorders>
            <w:shd w:val="clear" w:color="auto" w:fill="F5F7FA"/>
          </w:tcPr>
          <w:p w14:paraId="388F8E5C" w14:textId="77777777" w:rsidR="006D4392" w:rsidRPr="00AD0FF4" w:rsidRDefault="00683A75" w:rsidP="00AD0FF4">
            <w:pPr>
              <w:spacing w:after="200" w:line="360" w:lineRule="auto"/>
              <w:jc w:val="both"/>
            </w:pPr>
            <w:r w:rsidRPr="00AD0FF4">
              <w:rPr>
                <w:rFonts w:eastAsia="Times New Roman"/>
                <w:sz w:val="18"/>
                <w:szCs w:val="18"/>
              </w:rPr>
              <w:t>D1992</w:t>
            </w:r>
          </w:p>
        </w:tc>
        <w:tc>
          <w:tcPr>
            <w:tcW w:w="1500" w:type="dxa"/>
            <w:tcBorders>
              <w:top w:val="single" w:sz="1" w:space="0" w:color="CCCCCC"/>
              <w:left w:val="single" w:sz="1" w:space="0" w:color="CCCCCC"/>
              <w:bottom w:val="single" w:sz="1" w:space="0" w:color="CCCCCC"/>
              <w:right w:val="single" w:sz="1" w:space="0" w:color="CCCCCC"/>
            </w:tcBorders>
            <w:shd w:val="clear" w:color="auto" w:fill="F5F7FA"/>
          </w:tcPr>
          <w:p w14:paraId="765526E7" w14:textId="77777777" w:rsidR="006D4392" w:rsidRPr="00AD0FF4" w:rsidRDefault="00683A75" w:rsidP="00AD0FF4">
            <w:pPr>
              <w:spacing w:after="200" w:line="360" w:lineRule="auto"/>
              <w:jc w:val="both"/>
            </w:pPr>
            <w:r w:rsidRPr="00AD0FF4">
              <w:rPr>
                <w:rFonts w:eastAsia="Times New Roman"/>
                <w:sz w:val="18"/>
                <w:szCs w:val="18"/>
              </w:rPr>
              <w:t>−5.7217</w:t>
            </w:r>
          </w:p>
        </w:tc>
        <w:tc>
          <w:tcPr>
            <w:tcW w:w="1200" w:type="dxa"/>
            <w:tcBorders>
              <w:top w:val="single" w:sz="1" w:space="0" w:color="CCCCCC"/>
              <w:left w:val="single" w:sz="1" w:space="0" w:color="CCCCCC"/>
              <w:bottom w:val="single" w:sz="1" w:space="0" w:color="CCCCCC"/>
              <w:right w:val="single" w:sz="1" w:space="0" w:color="CCCCCC"/>
            </w:tcBorders>
            <w:shd w:val="clear" w:color="auto" w:fill="F5F7FA"/>
          </w:tcPr>
          <w:p w14:paraId="3BC250B2" w14:textId="77777777" w:rsidR="006D4392" w:rsidRPr="00AD0FF4" w:rsidRDefault="00683A75" w:rsidP="00AD0FF4">
            <w:pPr>
              <w:spacing w:after="200" w:line="360" w:lineRule="auto"/>
              <w:jc w:val="both"/>
            </w:pPr>
            <w:r w:rsidRPr="00AD0FF4">
              <w:rPr>
                <w:rFonts w:eastAsia="Times New Roman"/>
                <w:sz w:val="18"/>
                <w:szCs w:val="18"/>
              </w:rPr>
              <w:t>0.6515</w:t>
            </w:r>
          </w:p>
        </w:tc>
        <w:tc>
          <w:tcPr>
            <w:tcW w:w="900" w:type="dxa"/>
            <w:tcBorders>
              <w:top w:val="single" w:sz="1" w:space="0" w:color="CCCCCC"/>
              <w:left w:val="single" w:sz="1" w:space="0" w:color="CCCCCC"/>
              <w:bottom w:val="single" w:sz="1" w:space="0" w:color="CCCCCC"/>
              <w:right w:val="single" w:sz="1" w:space="0" w:color="CCCCCC"/>
            </w:tcBorders>
            <w:shd w:val="clear" w:color="auto" w:fill="F5F7FA"/>
          </w:tcPr>
          <w:p w14:paraId="289EA258" w14:textId="77777777" w:rsidR="006D4392" w:rsidRPr="00AD0FF4" w:rsidRDefault="00683A75" w:rsidP="00AD0FF4">
            <w:pPr>
              <w:spacing w:after="200" w:line="360" w:lineRule="auto"/>
              <w:jc w:val="both"/>
            </w:pPr>
            <w:r w:rsidRPr="00AD0FF4">
              <w:rPr>
                <w:rFonts w:eastAsia="Times New Roman"/>
                <w:sz w:val="18"/>
                <w:szCs w:val="18"/>
              </w:rPr>
              <w:t>***</w:t>
            </w:r>
          </w:p>
        </w:tc>
        <w:tc>
          <w:tcPr>
            <w:tcW w:w="1200" w:type="dxa"/>
            <w:tcBorders>
              <w:top w:val="single" w:sz="1" w:space="0" w:color="CCCCCC"/>
              <w:left w:val="single" w:sz="1" w:space="0" w:color="CCCCCC"/>
              <w:bottom w:val="single" w:sz="1" w:space="0" w:color="CCCCCC"/>
              <w:right w:val="single" w:sz="1" w:space="0" w:color="CCCCCC"/>
            </w:tcBorders>
            <w:shd w:val="clear" w:color="auto" w:fill="F5F7FA"/>
          </w:tcPr>
          <w:p w14:paraId="68C6D019" w14:textId="77777777" w:rsidR="006D4392" w:rsidRPr="00AD0FF4" w:rsidRDefault="00683A75" w:rsidP="00AD0FF4">
            <w:pPr>
              <w:spacing w:after="200" w:line="360" w:lineRule="auto"/>
              <w:jc w:val="both"/>
            </w:pPr>
            <w:r w:rsidRPr="00AD0FF4">
              <w:rPr>
                <w:rFonts w:eastAsia="Times New Roman"/>
                <w:sz w:val="18"/>
                <w:szCs w:val="18"/>
              </w:rPr>
              <w:t>0.6724</w:t>
            </w:r>
          </w:p>
        </w:tc>
        <w:tc>
          <w:tcPr>
            <w:tcW w:w="900" w:type="dxa"/>
            <w:tcBorders>
              <w:top w:val="single" w:sz="1" w:space="0" w:color="CCCCCC"/>
              <w:left w:val="single" w:sz="1" w:space="0" w:color="CCCCCC"/>
              <w:bottom w:val="single" w:sz="1" w:space="0" w:color="CCCCCC"/>
              <w:right w:val="single" w:sz="1" w:space="0" w:color="CCCCCC"/>
            </w:tcBorders>
            <w:shd w:val="clear" w:color="auto" w:fill="F5F7FA"/>
          </w:tcPr>
          <w:p w14:paraId="2E2A4FE3" w14:textId="77777777" w:rsidR="006D4392" w:rsidRPr="00AD0FF4" w:rsidRDefault="00683A75" w:rsidP="00AD0FF4">
            <w:pPr>
              <w:spacing w:after="200" w:line="360" w:lineRule="auto"/>
              <w:jc w:val="both"/>
            </w:pPr>
            <w:r w:rsidRPr="00AD0FF4">
              <w:rPr>
                <w:rFonts w:eastAsia="Times New Roman"/>
                <w:sz w:val="18"/>
                <w:szCs w:val="18"/>
              </w:rPr>
              <w:t>***</w:t>
            </w:r>
          </w:p>
        </w:tc>
      </w:tr>
      <w:tr w:rsidR="006D4392" w:rsidRPr="00AD0FF4" w14:paraId="30613B80" w14:textId="77777777">
        <w:tc>
          <w:tcPr>
            <w:tcW w:w="3000" w:type="dxa"/>
            <w:tcBorders>
              <w:top w:val="single" w:sz="1" w:space="0" w:color="CCCCCC"/>
              <w:left w:val="single" w:sz="1" w:space="0" w:color="CCCCCC"/>
              <w:bottom w:val="single" w:sz="1" w:space="0" w:color="CCCCCC"/>
              <w:right w:val="single" w:sz="1" w:space="0" w:color="CCCCCC"/>
            </w:tcBorders>
            <w:shd w:val="clear" w:color="auto" w:fill="FFFFFF"/>
          </w:tcPr>
          <w:p w14:paraId="58400150" w14:textId="77777777" w:rsidR="006D4392" w:rsidRPr="00AD0FF4" w:rsidRDefault="00683A75" w:rsidP="00AD0FF4">
            <w:pPr>
              <w:spacing w:after="200" w:line="360" w:lineRule="auto"/>
              <w:jc w:val="both"/>
            </w:pPr>
            <w:r w:rsidRPr="00AD0FF4">
              <w:rPr>
                <w:rFonts w:eastAsia="Times New Roman"/>
                <w:sz w:val="18"/>
                <w:szCs w:val="18"/>
              </w:rPr>
              <w:t>D2013</w:t>
            </w:r>
          </w:p>
        </w:tc>
        <w:tc>
          <w:tcPr>
            <w:tcW w:w="1500" w:type="dxa"/>
            <w:tcBorders>
              <w:top w:val="single" w:sz="1" w:space="0" w:color="CCCCCC"/>
              <w:left w:val="single" w:sz="1" w:space="0" w:color="CCCCCC"/>
              <w:bottom w:val="single" w:sz="1" w:space="0" w:color="CCCCCC"/>
              <w:right w:val="single" w:sz="1" w:space="0" w:color="CCCCCC"/>
            </w:tcBorders>
            <w:shd w:val="clear" w:color="auto" w:fill="FFFFFF"/>
          </w:tcPr>
          <w:p w14:paraId="2A7F51A6" w14:textId="77777777" w:rsidR="006D4392" w:rsidRPr="00AD0FF4" w:rsidRDefault="00683A75" w:rsidP="00AD0FF4">
            <w:pPr>
              <w:spacing w:after="200" w:line="360" w:lineRule="auto"/>
              <w:jc w:val="both"/>
            </w:pPr>
            <w:r w:rsidRPr="00AD0FF4">
              <w:rPr>
                <w:rFonts w:eastAsia="Times New Roman"/>
                <w:sz w:val="18"/>
                <w:szCs w:val="18"/>
              </w:rPr>
              <w:t>4.9282</w:t>
            </w:r>
          </w:p>
        </w:tc>
        <w:tc>
          <w:tcPr>
            <w:tcW w:w="1200" w:type="dxa"/>
            <w:tcBorders>
              <w:top w:val="single" w:sz="1" w:space="0" w:color="CCCCCC"/>
              <w:left w:val="single" w:sz="1" w:space="0" w:color="CCCCCC"/>
              <w:bottom w:val="single" w:sz="1" w:space="0" w:color="CCCCCC"/>
              <w:right w:val="single" w:sz="1" w:space="0" w:color="CCCCCC"/>
            </w:tcBorders>
            <w:shd w:val="clear" w:color="auto" w:fill="FFFFFF"/>
          </w:tcPr>
          <w:p w14:paraId="716C233F" w14:textId="77777777" w:rsidR="006D4392" w:rsidRPr="00AD0FF4" w:rsidRDefault="00683A75" w:rsidP="00AD0FF4">
            <w:pPr>
              <w:spacing w:after="200" w:line="360" w:lineRule="auto"/>
              <w:jc w:val="both"/>
            </w:pPr>
            <w:r w:rsidRPr="00AD0FF4">
              <w:rPr>
                <w:rFonts w:eastAsia="Times New Roman"/>
                <w:sz w:val="18"/>
                <w:szCs w:val="18"/>
              </w:rPr>
              <w:t>3.0725</w:t>
            </w:r>
          </w:p>
        </w:tc>
        <w:tc>
          <w:tcPr>
            <w:tcW w:w="900" w:type="dxa"/>
            <w:tcBorders>
              <w:top w:val="single" w:sz="1" w:space="0" w:color="CCCCCC"/>
              <w:left w:val="single" w:sz="1" w:space="0" w:color="CCCCCC"/>
              <w:bottom w:val="single" w:sz="1" w:space="0" w:color="CCCCCC"/>
              <w:right w:val="single" w:sz="1" w:space="0" w:color="CCCCCC"/>
            </w:tcBorders>
            <w:shd w:val="clear" w:color="auto" w:fill="FFFFFF"/>
          </w:tcPr>
          <w:p w14:paraId="5C910ED6" w14:textId="77777777" w:rsidR="006D4392" w:rsidRPr="00AD0FF4" w:rsidRDefault="00683A75" w:rsidP="00AD0FF4">
            <w:pPr>
              <w:spacing w:after="200" w:line="360" w:lineRule="auto"/>
              <w:jc w:val="both"/>
            </w:pPr>
            <w:r w:rsidRPr="00AD0FF4">
              <w:rPr>
                <w:rFonts w:eastAsia="Times New Roman"/>
                <w:sz w:val="18"/>
                <w:szCs w:val="18"/>
              </w:rPr>
              <w:t>++</w:t>
            </w:r>
          </w:p>
        </w:tc>
        <w:tc>
          <w:tcPr>
            <w:tcW w:w="1200" w:type="dxa"/>
            <w:tcBorders>
              <w:top w:val="single" w:sz="1" w:space="0" w:color="CCCCCC"/>
              <w:left w:val="single" w:sz="1" w:space="0" w:color="CCCCCC"/>
              <w:bottom w:val="single" w:sz="1" w:space="0" w:color="CCCCCC"/>
              <w:right w:val="single" w:sz="1" w:space="0" w:color="CCCCCC"/>
            </w:tcBorders>
            <w:shd w:val="clear" w:color="auto" w:fill="FFFFFF"/>
          </w:tcPr>
          <w:p w14:paraId="43F317C3" w14:textId="77777777" w:rsidR="006D4392" w:rsidRPr="00AD0FF4" w:rsidRDefault="00683A75" w:rsidP="00AD0FF4">
            <w:pPr>
              <w:spacing w:after="200" w:line="360" w:lineRule="auto"/>
              <w:jc w:val="both"/>
            </w:pPr>
            <w:r w:rsidRPr="00AD0FF4">
              <w:rPr>
                <w:rFonts w:eastAsia="Times New Roman"/>
                <w:sz w:val="18"/>
                <w:szCs w:val="18"/>
              </w:rPr>
              <w:t>2.0712</w:t>
            </w:r>
          </w:p>
        </w:tc>
        <w:tc>
          <w:tcPr>
            <w:tcW w:w="900" w:type="dxa"/>
            <w:tcBorders>
              <w:top w:val="single" w:sz="1" w:space="0" w:color="CCCCCC"/>
              <w:left w:val="single" w:sz="1" w:space="0" w:color="CCCCCC"/>
              <w:bottom w:val="single" w:sz="1" w:space="0" w:color="CCCCCC"/>
              <w:right w:val="single" w:sz="1" w:space="0" w:color="CCCCCC"/>
            </w:tcBorders>
            <w:shd w:val="clear" w:color="auto" w:fill="FFFFFF"/>
          </w:tcPr>
          <w:p w14:paraId="5FE35C85" w14:textId="77777777" w:rsidR="006D4392" w:rsidRPr="00AD0FF4" w:rsidRDefault="00683A75" w:rsidP="00AD0FF4">
            <w:pPr>
              <w:spacing w:after="200" w:line="360" w:lineRule="auto"/>
              <w:jc w:val="both"/>
            </w:pPr>
            <w:r w:rsidRPr="00AD0FF4">
              <w:rPr>
                <w:rFonts w:eastAsia="Times New Roman"/>
                <w:sz w:val="18"/>
                <w:szCs w:val="18"/>
              </w:rPr>
              <w:t>**</w:t>
            </w:r>
          </w:p>
        </w:tc>
      </w:tr>
      <w:tr w:rsidR="006D4392" w:rsidRPr="00AD0FF4" w14:paraId="0F9A9F8F" w14:textId="77777777">
        <w:tc>
          <w:tcPr>
            <w:tcW w:w="3000" w:type="dxa"/>
            <w:tcBorders>
              <w:top w:val="single" w:sz="1" w:space="0" w:color="CCCCCC"/>
              <w:left w:val="single" w:sz="1" w:space="0" w:color="CCCCCC"/>
              <w:bottom w:val="single" w:sz="1" w:space="0" w:color="CCCCCC"/>
              <w:right w:val="single" w:sz="1" w:space="0" w:color="CCCCCC"/>
            </w:tcBorders>
            <w:shd w:val="clear" w:color="auto" w:fill="F5F7FA"/>
          </w:tcPr>
          <w:p w14:paraId="1D346788" w14:textId="77777777" w:rsidR="006D4392" w:rsidRPr="00AD0FF4" w:rsidRDefault="00683A75" w:rsidP="00AD0FF4">
            <w:pPr>
              <w:spacing w:after="200" w:line="360" w:lineRule="auto"/>
              <w:jc w:val="both"/>
            </w:pPr>
            <w:r w:rsidRPr="00AD0FF4">
              <w:rPr>
                <w:rFonts w:eastAsia="Times New Roman"/>
                <w:sz w:val="18"/>
                <w:szCs w:val="18"/>
              </w:rPr>
              <w:t>D1992 × CA</w:t>
            </w:r>
          </w:p>
        </w:tc>
        <w:tc>
          <w:tcPr>
            <w:tcW w:w="1500" w:type="dxa"/>
            <w:tcBorders>
              <w:top w:val="single" w:sz="1" w:space="0" w:color="CCCCCC"/>
              <w:left w:val="single" w:sz="1" w:space="0" w:color="CCCCCC"/>
              <w:bottom w:val="single" w:sz="1" w:space="0" w:color="CCCCCC"/>
              <w:right w:val="single" w:sz="1" w:space="0" w:color="CCCCCC"/>
            </w:tcBorders>
            <w:shd w:val="clear" w:color="auto" w:fill="F5F7FA"/>
          </w:tcPr>
          <w:p w14:paraId="7E749190" w14:textId="77777777" w:rsidR="006D4392" w:rsidRPr="00AD0FF4" w:rsidRDefault="00683A75" w:rsidP="00AD0FF4">
            <w:pPr>
              <w:spacing w:after="200" w:line="360" w:lineRule="auto"/>
              <w:jc w:val="both"/>
            </w:pPr>
            <w:r w:rsidRPr="00AD0FF4">
              <w:rPr>
                <w:rFonts w:eastAsia="Times New Roman"/>
                <w:sz w:val="18"/>
                <w:szCs w:val="18"/>
              </w:rPr>
              <w:t>−0.2113</w:t>
            </w:r>
          </w:p>
        </w:tc>
        <w:tc>
          <w:tcPr>
            <w:tcW w:w="1200" w:type="dxa"/>
            <w:tcBorders>
              <w:top w:val="single" w:sz="1" w:space="0" w:color="CCCCCC"/>
              <w:left w:val="single" w:sz="1" w:space="0" w:color="CCCCCC"/>
              <w:bottom w:val="single" w:sz="1" w:space="0" w:color="CCCCCC"/>
              <w:right w:val="single" w:sz="1" w:space="0" w:color="CCCCCC"/>
            </w:tcBorders>
            <w:shd w:val="clear" w:color="auto" w:fill="F5F7FA"/>
          </w:tcPr>
          <w:p w14:paraId="59013440" w14:textId="77777777" w:rsidR="006D4392" w:rsidRPr="00AD0FF4" w:rsidRDefault="00683A75" w:rsidP="00AD0FF4">
            <w:pPr>
              <w:spacing w:after="200" w:line="360" w:lineRule="auto"/>
              <w:jc w:val="both"/>
            </w:pPr>
            <w:r w:rsidRPr="00AD0FF4">
              <w:rPr>
                <w:rFonts w:eastAsia="Times New Roman"/>
                <w:sz w:val="18"/>
                <w:szCs w:val="18"/>
              </w:rPr>
              <w:t>0.0303</w:t>
            </w:r>
          </w:p>
        </w:tc>
        <w:tc>
          <w:tcPr>
            <w:tcW w:w="900" w:type="dxa"/>
            <w:tcBorders>
              <w:top w:val="single" w:sz="1" w:space="0" w:color="CCCCCC"/>
              <w:left w:val="single" w:sz="1" w:space="0" w:color="CCCCCC"/>
              <w:bottom w:val="single" w:sz="1" w:space="0" w:color="CCCCCC"/>
              <w:right w:val="single" w:sz="1" w:space="0" w:color="CCCCCC"/>
            </w:tcBorders>
            <w:shd w:val="clear" w:color="auto" w:fill="F5F7FA"/>
          </w:tcPr>
          <w:p w14:paraId="1E3E6DAB" w14:textId="77777777" w:rsidR="006D4392" w:rsidRPr="00AD0FF4" w:rsidRDefault="00683A75" w:rsidP="00AD0FF4">
            <w:pPr>
              <w:spacing w:after="200" w:line="360" w:lineRule="auto"/>
              <w:jc w:val="both"/>
            </w:pPr>
            <w:r w:rsidRPr="00AD0FF4">
              <w:rPr>
                <w:rFonts w:eastAsia="Times New Roman"/>
                <w:sz w:val="18"/>
                <w:szCs w:val="18"/>
              </w:rPr>
              <w:t>***</w:t>
            </w:r>
          </w:p>
        </w:tc>
        <w:tc>
          <w:tcPr>
            <w:tcW w:w="1200" w:type="dxa"/>
            <w:tcBorders>
              <w:top w:val="single" w:sz="1" w:space="0" w:color="CCCCCC"/>
              <w:left w:val="single" w:sz="1" w:space="0" w:color="CCCCCC"/>
              <w:bottom w:val="single" w:sz="1" w:space="0" w:color="CCCCCC"/>
              <w:right w:val="single" w:sz="1" w:space="0" w:color="CCCCCC"/>
            </w:tcBorders>
            <w:shd w:val="clear" w:color="auto" w:fill="F5F7FA"/>
          </w:tcPr>
          <w:p w14:paraId="5C01FA9B" w14:textId="77777777" w:rsidR="006D4392" w:rsidRPr="00AD0FF4" w:rsidRDefault="00683A75" w:rsidP="00AD0FF4">
            <w:pPr>
              <w:spacing w:after="200" w:line="360" w:lineRule="auto"/>
              <w:jc w:val="both"/>
            </w:pPr>
            <w:r w:rsidRPr="00AD0FF4">
              <w:rPr>
                <w:rFonts w:eastAsia="Times New Roman"/>
                <w:sz w:val="18"/>
                <w:szCs w:val="18"/>
              </w:rPr>
              <w:t>0.0190</w:t>
            </w:r>
          </w:p>
        </w:tc>
        <w:tc>
          <w:tcPr>
            <w:tcW w:w="900" w:type="dxa"/>
            <w:tcBorders>
              <w:top w:val="single" w:sz="1" w:space="0" w:color="CCCCCC"/>
              <w:left w:val="single" w:sz="1" w:space="0" w:color="CCCCCC"/>
              <w:bottom w:val="single" w:sz="1" w:space="0" w:color="CCCCCC"/>
              <w:right w:val="single" w:sz="1" w:space="0" w:color="CCCCCC"/>
            </w:tcBorders>
            <w:shd w:val="clear" w:color="auto" w:fill="F5F7FA"/>
          </w:tcPr>
          <w:p w14:paraId="52F80312" w14:textId="77777777" w:rsidR="006D4392" w:rsidRPr="00AD0FF4" w:rsidRDefault="00683A75" w:rsidP="00AD0FF4">
            <w:pPr>
              <w:spacing w:after="200" w:line="360" w:lineRule="auto"/>
              <w:jc w:val="both"/>
            </w:pPr>
            <w:r w:rsidRPr="00AD0FF4">
              <w:rPr>
                <w:rFonts w:eastAsia="Times New Roman"/>
                <w:sz w:val="18"/>
                <w:szCs w:val="18"/>
              </w:rPr>
              <w:t>***</w:t>
            </w:r>
          </w:p>
        </w:tc>
      </w:tr>
      <w:tr w:rsidR="006D4392" w:rsidRPr="00AD0FF4" w14:paraId="21289C3E" w14:textId="77777777">
        <w:tc>
          <w:tcPr>
            <w:tcW w:w="3000" w:type="dxa"/>
            <w:tcBorders>
              <w:top w:val="single" w:sz="1" w:space="0" w:color="CCCCCC"/>
              <w:left w:val="single" w:sz="1" w:space="0" w:color="CCCCCC"/>
              <w:bottom w:val="single" w:sz="1" w:space="0" w:color="CCCCCC"/>
              <w:right w:val="single" w:sz="1" w:space="0" w:color="CCCCCC"/>
            </w:tcBorders>
            <w:shd w:val="clear" w:color="auto" w:fill="FFFFFF"/>
          </w:tcPr>
          <w:p w14:paraId="39E7F882" w14:textId="77777777" w:rsidR="006D4392" w:rsidRPr="00AD0FF4" w:rsidRDefault="00683A75" w:rsidP="00AD0FF4">
            <w:pPr>
              <w:spacing w:after="200" w:line="360" w:lineRule="auto"/>
              <w:jc w:val="both"/>
            </w:pPr>
            <w:r w:rsidRPr="00AD0FF4">
              <w:rPr>
                <w:rFonts w:eastAsia="Times New Roman"/>
                <w:sz w:val="18"/>
                <w:szCs w:val="18"/>
              </w:rPr>
              <w:t>D2013 × CA</w:t>
            </w:r>
          </w:p>
        </w:tc>
        <w:tc>
          <w:tcPr>
            <w:tcW w:w="1500" w:type="dxa"/>
            <w:tcBorders>
              <w:top w:val="single" w:sz="1" w:space="0" w:color="CCCCCC"/>
              <w:left w:val="single" w:sz="1" w:space="0" w:color="CCCCCC"/>
              <w:bottom w:val="single" w:sz="1" w:space="0" w:color="CCCCCC"/>
              <w:right w:val="single" w:sz="1" w:space="0" w:color="CCCCCC"/>
            </w:tcBorders>
            <w:shd w:val="clear" w:color="auto" w:fill="FFFFFF"/>
          </w:tcPr>
          <w:p w14:paraId="1335589D" w14:textId="77777777" w:rsidR="006D4392" w:rsidRPr="00AD0FF4" w:rsidRDefault="00683A75" w:rsidP="00AD0FF4">
            <w:pPr>
              <w:spacing w:after="200" w:line="360" w:lineRule="auto"/>
              <w:jc w:val="both"/>
            </w:pPr>
            <w:r w:rsidRPr="00AD0FF4">
              <w:rPr>
                <w:rFonts w:eastAsia="Times New Roman"/>
                <w:sz w:val="18"/>
                <w:szCs w:val="18"/>
              </w:rPr>
              <w:t>0.1195</w:t>
            </w:r>
          </w:p>
        </w:tc>
        <w:tc>
          <w:tcPr>
            <w:tcW w:w="1200" w:type="dxa"/>
            <w:tcBorders>
              <w:top w:val="single" w:sz="1" w:space="0" w:color="CCCCCC"/>
              <w:left w:val="single" w:sz="1" w:space="0" w:color="CCCCCC"/>
              <w:bottom w:val="single" w:sz="1" w:space="0" w:color="CCCCCC"/>
              <w:right w:val="single" w:sz="1" w:space="0" w:color="CCCCCC"/>
            </w:tcBorders>
            <w:shd w:val="clear" w:color="auto" w:fill="FFFFFF"/>
          </w:tcPr>
          <w:p w14:paraId="00953A28" w14:textId="77777777" w:rsidR="006D4392" w:rsidRPr="00AD0FF4" w:rsidRDefault="00683A75" w:rsidP="00AD0FF4">
            <w:pPr>
              <w:spacing w:after="200" w:line="360" w:lineRule="auto"/>
              <w:jc w:val="both"/>
            </w:pPr>
            <w:r w:rsidRPr="00AD0FF4">
              <w:rPr>
                <w:rFonts w:eastAsia="Times New Roman"/>
                <w:sz w:val="18"/>
                <w:szCs w:val="18"/>
              </w:rPr>
              <w:t>0.0746</w:t>
            </w:r>
          </w:p>
        </w:tc>
        <w:tc>
          <w:tcPr>
            <w:tcW w:w="900" w:type="dxa"/>
            <w:tcBorders>
              <w:top w:val="single" w:sz="1" w:space="0" w:color="CCCCCC"/>
              <w:left w:val="single" w:sz="1" w:space="0" w:color="CCCCCC"/>
              <w:bottom w:val="single" w:sz="1" w:space="0" w:color="CCCCCC"/>
              <w:right w:val="single" w:sz="1" w:space="0" w:color="CCCCCC"/>
            </w:tcBorders>
            <w:shd w:val="clear" w:color="auto" w:fill="FFFFFF"/>
          </w:tcPr>
          <w:p w14:paraId="77E4D011" w14:textId="77777777" w:rsidR="006D4392" w:rsidRPr="00AD0FF4" w:rsidRDefault="00683A75" w:rsidP="00AD0FF4">
            <w:pPr>
              <w:spacing w:after="200" w:line="360" w:lineRule="auto"/>
              <w:jc w:val="both"/>
            </w:pPr>
            <w:r w:rsidRPr="00AD0FF4">
              <w:rPr>
                <w:rFonts w:eastAsia="Times New Roman"/>
                <w:sz w:val="18"/>
                <w:szCs w:val="18"/>
              </w:rPr>
              <w:t>++</w:t>
            </w:r>
          </w:p>
        </w:tc>
        <w:tc>
          <w:tcPr>
            <w:tcW w:w="1200" w:type="dxa"/>
            <w:tcBorders>
              <w:top w:val="single" w:sz="1" w:space="0" w:color="CCCCCC"/>
              <w:left w:val="single" w:sz="1" w:space="0" w:color="CCCCCC"/>
              <w:bottom w:val="single" w:sz="1" w:space="0" w:color="CCCCCC"/>
              <w:right w:val="single" w:sz="1" w:space="0" w:color="CCCCCC"/>
            </w:tcBorders>
            <w:shd w:val="clear" w:color="auto" w:fill="FFFFFF"/>
          </w:tcPr>
          <w:p w14:paraId="200F1D95" w14:textId="77777777" w:rsidR="006D4392" w:rsidRPr="00AD0FF4" w:rsidRDefault="00683A75" w:rsidP="00AD0FF4">
            <w:pPr>
              <w:spacing w:after="200" w:line="360" w:lineRule="auto"/>
              <w:jc w:val="both"/>
            </w:pPr>
            <w:r w:rsidRPr="00AD0FF4">
              <w:rPr>
                <w:rFonts w:eastAsia="Times New Roman"/>
                <w:sz w:val="18"/>
                <w:szCs w:val="18"/>
              </w:rPr>
              <w:t>0.0450</w:t>
            </w:r>
          </w:p>
        </w:tc>
        <w:tc>
          <w:tcPr>
            <w:tcW w:w="900" w:type="dxa"/>
            <w:tcBorders>
              <w:top w:val="single" w:sz="1" w:space="0" w:color="CCCCCC"/>
              <w:left w:val="single" w:sz="1" w:space="0" w:color="CCCCCC"/>
              <w:bottom w:val="single" w:sz="1" w:space="0" w:color="CCCCCC"/>
              <w:right w:val="single" w:sz="1" w:space="0" w:color="CCCCCC"/>
            </w:tcBorders>
            <w:shd w:val="clear" w:color="auto" w:fill="FFFFFF"/>
          </w:tcPr>
          <w:p w14:paraId="7EEE9074" w14:textId="77777777" w:rsidR="006D4392" w:rsidRPr="00AD0FF4" w:rsidRDefault="00683A75" w:rsidP="00AD0FF4">
            <w:pPr>
              <w:spacing w:after="200" w:line="360" w:lineRule="auto"/>
              <w:jc w:val="both"/>
            </w:pPr>
            <w:r w:rsidRPr="00AD0FF4">
              <w:rPr>
                <w:rFonts w:eastAsia="Times New Roman"/>
                <w:sz w:val="18"/>
                <w:szCs w:val="18"/>
              </w:rPr>
              <w:t>***</w:t>
            </w:r>
          </w:p>
        </w:tc>
      </w:tr>
      <w:tr w:rsidR="006D4392" w:rsidRPr="00AD0FF4" w14:paraId="663FB24F" w14:textId="77777777">
        <w:tc>
          <w:tcPr>
            <w:tcW w:w="3000" w:type="dxa"/>
            <w:tcBorders>
              <w:top w:val="single" w:sz="1" w:space="0" w:color="CCCCCC"/>
              <w:left w:val="single" w:sz="1" w:space="0" w:color="CCCCCC"/>
              <w:bottom w:val="single" w:sz="1" w:space="0" w:color="CCCCCC"/>
              <w:right w:val="single" w:sz="1" w:space="0" w:color="CCCCCC"/>
            </w:tcBorders>
            <w:shd w:val="clear" w:color="auto" w:fill="F5F7FA"/>
          </w:tcPr>
          <w:p w14:paraId="2DFEB1CB" w14:textId="77777777" w:rsidR="006D4392" w:rsidRPr="00AD0FF4" w:rsidRDefault="00683A75" w:rsidP="00AD0FF4">
            <w:pPr>
              <w:spacing w:after="200" w:line="360" w:lineRule="auto"/>
              <w:jc w:val="both"/>
            </w:pPr>
            <w:r w:rsidRPr="00AD0FF4">
              <w:rPr>
                <w:rFonts w:eastAsia="Times New Roman"/>
                <w:sz w:val="18"/>
                <w:szCs w:val="18"/>
              </w:rPr>
              <w:t>D1992 × GR</w:t>
            </w:r>
          </w:p>
        </w:tc>
        <w:tc>
          <w:tcPr>
            <w:tcW w:w="1500" w:type="dxa"/>
            <w:tcBorders>
              <w:top w:val="single" w:sz="1" w:space="0" w:color="CCCCCC"/>
              <w:left w:val="single" w:sz="1" w:space="0" w:color="CCCCCC"/>
              <w:bottom w:val="single" w:sz="1" w:space="0" w:color="CCCCCC"/>
              <w:right w:val="single" w:sz="1" w:space="0" w:color="CCCCCC"/>
            </w:tcBorders>
            <w:shd w:val="clear" w:color="auto" w:fill="F5F7FA"/>
          </w:tcPr>
          <w:p w14:paraId="1EF78639" w14:textId="77777777" w:rsidR="006D4392" w:rsidRPr="00AD0FF4" w:rsidRDefault="00683A75" w:rsidP="00AD0FF4">
            <w:pPr>
              <w:spacing w:after="200" w:line="360" w:lineRule="auto"/>
              <w:jc w:val="both"/>
            </w:pPr>
            <w:r w:rsidRPr="00AD0FF4">
              <w:rPr>
                <w:rFonts w:eastAsia="Times New Roman"/>
                <w:sz w:val="18"/>
                <w:szCs w:val="18"/>
              </w:rPr>
              <w:t>2.3943</w:t>
            </w:r>
          </w:p>
        </w:tc>
        <w:tc>
          <w:tcPr>
            <w:tcW w:w="1200" w:type="dxa"/>
            <w:tcBorders>
              <w:top w:val="single" w:sz="1" w:space="0" w:color="CCCCCC"/>
              <w:left w:val="single" w:sz="1" w:space="0" w:color="CCCCCC"/>
              <w:bottom w:val="single" w:sz="1" w:space="0" w:color="CCCCCC"/>
              <w:right w:val="single" w:sz="1" w:space="0" w:color="CCCCCC"/>
            </w:tcBorders>
            <w:shd w:val="clear" w:color="auto" w:fill="F5F7FA"/>
          </w:tcPr>
          <w:p w14:paraId="18E50B81" w14:textId="77777777" w:rsidR="006D4392" w:rsidRPr="00AD0FF4" w:rsidRDefault="00683A75" w:rsidP="00AD0FF4">
            <w:pPr>
              <w:spacing w:after="200" w:line="360" w:lineRule="auto"/>
              <w:jc w:val="both"/>
            </w:pPr>
            <w:r w:rsidRPr="00AD0FF4">
              <w:rPr>
                <w:rFonts w:eastAsia="Times New Roman"/>
                <w:sz w:val="18"/>
                <w:szCs w:val="18"/>
              </w:rPr>
              <w:t>0.2135</w:t>
            </w:r>
          </w:p>
        </w:tc>
        <w:tc>
          <w:tcPr>
            <w:tcW w:w="900" w:type="dxa"/>
            <w:tcBorders>
              <w:top w:val="single" w:sz="1" w:space="0" w:color="CCCCCC"/>
              <w:left w:val="single" w:sz="1" w:space="0" w:color="CCCCCC"/>
              <w:bottom w:val="single" w:sz="1" w:space="0" w:color="CCCCCC"/>
              <w:right w:val="single" w:sz="1" w:space="0" w:color="CCCCCC"/>
            </w:tcBorders>
            <w:shd w:val="clear" w:color="auto" w:fill="F5F7FA"/>
          </w:tcPr>
          <w:p w14:paraId="25F722B1" w14:textId="77777777" w:rsidR="006D4392" w:rsidRPr="00AD0FF4" w:rsidRDefault="00683A75" w:rsidP="00AD0FF4">
            <w:pPr>
              <w:spacing w:after="200" w:line="360" w:lineRule="auto"/>
              <w:jc w:val="both"/>
            </w:pPr>
            <w:r w:rsidRPr="00AD0FF4">
              <w:rPr>
                <w:rFonts w:eastAsia="Times New Roman"/>
                <w:sz w:val="18"/>
                <w:szCs w:val="18"/>
              </w:rPr>
              <w:t>***</w:t>
            </w:r>
          </w:p>
        </w:tc>
        <w:tc>
          <w:tcPr>
            <w:tcW w:w="1200" w:type="dxa"/>
            <w:tcBorders>
              <w:top w:val="single" w:sz="1" w:space="0" w:color="CCCCCC"/>
              <w:left w:val="single" w:sz="1" w:space="0" w:color="CCCCCC"/>
              <w:bottom w:val="single" w:sz="1" w:space="0" w:color="CCCCCC"/>
              <w:right w:val="single" w:sz="1" w:space="0" w:color="CCCCCC"/>
            </w:tcBorders>
            <w:shd w:val="clear" w:color="auto" w:fill="F5F7FA"/>
          </w:tcPr>
          <w:p w14:paraId="14FA9714" w14:textId="77777777" w:rsidR="006D4392" w:rsidRPr="00AD0FF4" w:rsidRDefault="00683A75" w:rsidP="00AD0FF4">
            <w:pPr>
              <w:spacing w:after="200" w:line="360" w:lineRule="auto"/>
              <w:jc w:val="both"/>
            </w:pPr>
            <w:r w:rsidRPr="00AD0FF4">
              <w:rPr>
                <w:rFonts w:eastAsia="Times New Roman"/>
                <w:sz w:val="18"/>
                <w:szCs w:val="18"/>
              </w:rPr>
              <w:t>0.2281</w:t>
            </w:r>
          </w:p>
        </w:tc>
        <w:tc>
          <w:tcPr>
            <w:tcW w:w="900" w:type="dxa"/>
            <w:tcBorders>
              <w:top w:val="single" w:sz="1" w:space="0" w:color="CCCCCC"/>
              <w:left w:val="single" w:sz="1" w:space="0" w:color="CCCCCC"/>
              <w:bottom w:val="single" w:sz="1" w:space="0" w:color="CCCCCC"/>
              <w:right w:val="single" w:sz="1" w:space="0" w:color="CCCCCC"/>
            </w:tcBorders>
            <w:shd w:val="clear" w:color="auto" w:fill="F5F7FA"/>
          </w:tcPr>
          <w:p w14:paraId="6C828546" w14:textId="77777777" w:rsidR="006D4392" w:rsidRPr="00AD0FF4" w:rsidRDefault="00683A75" w:rsidP="00AD0FF4">
            <w:pPr>
              <w:spacing w:after="200" w:line="360" w:lineRule="auto"/>
              <w:jc w:val="both"/>
            </w:pPr>
            <w:r w:rsidRPr="00AD0FF4">
              <w:rPr>
                <w:rFonts w:eastAsia="Times New Roman"/>
                <w:sz w:val="18"/>
                <w:szCs w:val="18"/>
              </w:rPr>
              <w:t>***</w:t>
            </w:r>
          </w:p>
        </w:tc>
      </w:tr>
      <w:tr w:rsidR="006D4392" w:rsidRPr="00AD0FF4" w14:paraId="56DF89EA" w14:textId="77777777">
        <w:tc>
          <w:tcPr>
            <w:tcW w:w="3000" w:type="dxa"/>
            <w:tcBorders>
              <w:top w:val="single" w:sz="1" w:space="0" w:color="CCCCCC"/>
              <w:left w:val="single" w:sz="1" w:space="0" w:color="CCCCCC"/>
              <w:bottom w:val="single" w:sz="1" w:space="0" w:color="CCCCCC"/>
              <w:right w:val="single" w:sz="1" w:space="0" w:color="CCCCCC"/>
            </w:tcBorders>
            <w:shd w:val="clear" w:color="auto" w:fill="FFFFFF"/>
          </w:tcPr>
          <w:p w14:paraId="34A85F7C" w14:textId="77777777" w:rsidR="006D4392" w:rsidRPr="00AD0FF4" w:rsidRDefault="00683A75" w:rsidP="00AD0FF4">
            <w:pPr>
              <w:spacing w:after="200" w:line="360" w:lineRule="auto"/>
              <w:jc w:val="both"/>
            </w:pPr>
            <w:r w:rsidRPr="00AD0FF4">
              <w:rPr>
                <w:rFonts w:eastAsia="Times New Roman"/>
                <w:sz w:val="18"/>
                <w:szCs w:val="18"/>
              </w:rPr>
              <w:t>D2013 × GR</w:t>
            </w:r>
          </w:p>
        </w:tc>
        <w:tc>
          <w:tcPr>
            <w:tcW w:w="1500" w:type="dxa"/>
            <w:tcBorders>
              <w:top w:val="single" w:sz="1" w:space="0" w:color="CCCCCC"/>
              <w:left w:val="single" w:sz="1" w:space="0" w:color="CCCCCC"/>
              <w:bottom w:val="single" w:sz="1" w:space="0" w:color="CCCCCC"/>
              <w:right w:val="single" w:sz="1" w:space="0" w:color="CCCCCC"/>
            </w:tcBorders>
            <w:shd w:val="clear" w:color="auto" w:fill="FFFFFF"/>
          </w:tcPr>
          <w:p w14:paraId="3A63E945" w14:textId="77777777" w:rsidR="006D4392" w:rsidRPr="00AD0FF4" w:rsidRDefault="00683A75" w:rsidP="00AD0FF4">
            <w:pPr>
              <w:spacing w:after="200" w:line="360" w:lineRule="auto"/>
              <w:jc w:val="both"/>
            </w:pPr>
            <w:r w:rsidRPr="00AD0FF4">
              <w:rPr>
                <w:rFonts w:eastAsia="Times New Roman"/>
                <w:sz w:val="18"/>
                <w:szCs w:val="18"/>
              </w:rPr>
              <w:t>−1.6770</w:t>
            </w:r>
          </w:p>
        </w:tc>
        <w:tc>
          <w:tcPr>
            <w:tcW w:w="1200" w:type="dxa"/>
            <w:tcBorders>
              <w:top w:val="single" w:sz="1" w:space="0" w:color="CCCCCC"/>
              <w:left w:val="single" w:sz="1" w:space="0" w:color="CCCCCC"/>
              <w:bottom w:val="single" w:sz="1" w:space="0" w:color="CCCCCC"/>
              <w:right w:val="single" w:sz="1" w:space="0" w:color="CCCCCC"/>
            </w:tcBorders>
            <w:shd w:val="clear" w:color="auto" w:fill="FFFFFF"/>
          </w:tcPr>
          <w:p w14:paraId="25F8D203" w14:textId="77777777" w:rsidR="006D4392" w:rsidRPr="00AD0FF4" w:rsidRDefault="00683A75" w:rsidP="00AD0FF4">
            <w:pPr>
              <w:spacing w:after="200" w:line="360" w:lineRule="auto"/>
              <w:jc w:val="both"/>
            </w:pPr>
            <w:r w:rsidRPr="00AD0FF4">
              <w:rPr>
                <w:rFonts w:eastAsia="Times New Roman"/>
                <w:sz w:val="18"/>
                <w:szCs w:val="18"/>
              </w:rPr>
              <w:t>0.9778</w:t>
            </w:r>
          </w:p>
        </w:tc>
        <w:tc>
          <w:tcPr>
            <w:tcW w:w="900" w:type="dxa"/>
            <w:tcBorders>
              <w:top w:val="single" w:sz="1" w:space="0" w:color="CCCCCC"/>
              <w:left w:val="single" w:sz="1" w:space="0" w:color="CCCCCC"/>
              <w:bottom w:val="single" w:sz="1" w:space="0" w:color="CCCCCC"/>
              <w:right w:val="single" w:sz="1" w:space="0" w:color="CCCCCC"/>
            </w:tcBorders>
            <w:shd w:val="clear" w:color="auto" w:fill="FFFFFF"/>
          </w:tcPr>
          <w:p w14:paraId="559D7DAD" w14:textId="77777777" w:rsidR="006D4392" w:rsidRPr="00AD0FF4" w:rsidRDefault="00683A75" w:rsidP="00AD0FF4">
            <w:pPr>
              <w:spacing w:after="200" w:line="360" w:lineRule="auto"/>
              <w:jc w:val="both"/>
            </w:pPr>
            <w:r w:rsidRPr="00AD0FF4">
              <w:rPr>
                <w:rFonts w:eastAsia="Times New Roman"/>
                <w:sz w:val="18"/>
                <w:szCs w:val="18"/>
              </w:rPr>
              <w:t>*</w:t>
            </w:r>
          </w:p>
        </w:tc>
        <w:tc>
          <w:tcPr>
            <w:tcW w:w="1200" w:type="dxa"/>
            <w:tcBorders>
              <w:top w:val="single" w:sz="1" w:space="0" w:color="CCCCCC"/>
              <w:left w:val="single" w:sz="1" w:space="0" w:color="CCCCCC"/>
              <w:bottom w:val="single" w:sz="1" w:space="0" w:color="CCCCCC"/>
              <w:right w:val="single" w:sz="1" w:space="0" w:color="CCCCCC"/>
            </w:tcBorders>
            <w:shd w:val="clear" w:color="auto" w:fill="FFFFFF"/>
          </w:tcPr>
          <w:p w14:paraId="15EB45B8" w14:textId="77777777" w:rsidR="006D4392" w:rsidRPr="00AD0FF4" w:rsidRDefault="00683A75" w:rsidP="00AD0FF4">
            <w:pPr>
              <w:spacing w:after="200" w:line="360" w:lineRule="auto"/>
              <w:jc w:val="both"/>
            </w:pPr>
            <w:r w:rsidRPr="00AD0FF4">
              <w:rPr>
                <w:rFonts w:eastAsia="Times New Roman"/>
                <w:sz w:val="18"/>
                <w:szCs w:val="18"/>
              </w:rPr>
              <w:t>0.6524</w:t>
            </w:r>
          </w:p>
        </w:tc>
        <w:tc>
          <w:tcPr>
            <w:tcW w:w="900" w:type="dxa"/>
            <w:tcBorders>
              <w:top w:val="single" w:sz="1" w:space="0" w:color="CCCCCC"/>
              <w:left w:val="single" w:sz="1" w:space="0" w:color="CCCCCC"/>
              <w:bottom w:val="single" w:sz="1" w:space="0" w:color="CCCCCC"/>
              <w:right w:val="single" w:sz="1" w:space="0" w:color="CCCCCC"/>
            </w:tcBorders>
            <w:shd w:val="clear" w:color="auto" w:fill="FFFFFF"/>
          </w:tcPr>
          <w:p w14:paraId="7DDE5E96" w14:textId="77777777" w:rsidR="006D4392" w:rsidRPr="00AD0FF4" w:rsidRDefault="00683A75" w:rsidP="00AD0FF4">
            <w:pPr>
              <w:spacing w:after="200" w:line="360" w:lineRule="auto"/>
              <w:jc w:val="both"/>
            </w:pPr>
            <w:r w:rsidRPr="00AD0FF4">
              <w:rPr>
                <w:rFonts w:eastAsia="Times New Roman"/>
                <w:sz w:val="18"/>
                <w:szCs w:val="18"/>
              </w:rPr>
              <w:t>**</w:t>
            </w:r>
          </w:p>
        </w:tc>
      </w:tr>
      <w:tr w:rsidR="006D4392" w:rsidRPr="00AD0FF4" w14:paraId="3056B1B1" w14:textId="77777777">
        <w:tc>
          <w:tcPr>
            <w:tcW w:w="3000" w:type="dxa"/>
            <w:tcBorders>
              <w:top w:val="single" w:sz="1" w:space="0" w:color="CCCCCC"/>
              <w:left w:val="single" w:sz="1" w:space="0" w:color="CCCCCC"/>
              <w:bottom w:val="single" w:sz="1" w:space="0" w:color="CCCCCC"/>
              <w:right w:val="single" w:sz="1" w:space="0" w:color="CCCCCC"/>
            </w:tcBorders>
            <w:shd w:val="clear" w:color="auto" w:fill="F5F7FA"/>
          </w:tcPr>
          <w:p w14:paraId="58BAC5BA" w14:textId="77777777" w:rsidR="006D4392" w:rsidRPr="00AD0FF4" w:rsidRDefault="00683A75" w:rsidP="00AD0FF4">
            <w:pPr>
              <w:spacing w:after="200" w:line="360" w:lineRule="auto"/>
              <w:jc w:val="both"/>
            </w:pPr>
            <w:r w:rsidRPr="00AD0FF4">
              <w:rPr>
                <w:rFonts w:eastAsia="Times New Roman"/>
                <w:sz w:val="18"/>
                <w:szCs w:val="18"/>
              </w:rPr>
              <w:t>D1992 × Op</w:t>
            </w:r>
          </w:p>
        </w:tc>
        <w:tc>
          <w:tcPr>
            <w:tcW w:w="1500" w:type="dxa"/>
            <w:tcBorders>
              <w:top w:val="single" w:sz="1" w:space="0" w:color="CCCCCC"/>
              <w:left w:val="single" w:sz="1" w:space="0" w:color="CCCCCC"/>
              <w:bottom w:val="single" w:sz="1" w:space="0" w:color="CCCCCC"/>
              <w:right w:val="single" w:sz="1" w:space="0" w:color="CCCCCC"/>
            </w:tcBorders>
            <w:shd w:val="clear" w:color="auto" w:fill="F5F7FA"/>
          </w:tcPr>
          <w:p w14:paraId="104043BE" w14:textId="77777777" w:rsidR="006D4392" w:rsidRPr="00AD0FF4" w:rsidRDefault="00683A75" w:rsidP="00AD0FF4">
            <w:pPr>
              <w:spacing w:after="200" w:line="360" w:lineRule="auto"/>
              <w:jc w:val="both"/>
            </w:pPr>
            <w:r w:rsidRPr="00AD0FF4">
              <w:rPr>
                <w:rFonts w:eastAsia="Times New Roman"/>
                <w:sz w:val="18"/>
                <w:szCs w:val="18"/>
              </w:rPr>
              <w:t>−0.2288</w:t>
            </w:r>
          </w:p>
        </w:tc>
        <w:tc>
          <w:tcPr>
            <w:tcW w:w="1200" w:type="dxa"/>
            <w:tcBorders>
              <w:top w:val="single" w:sz="1" w:space="0" w:color="CCCCCC"/>
              <w:left w:val="single" w:sz="1" w:space="0" w:color="CCCCCC"/>
              <w:bottom w:val="single" w:sz="1" w:space="0" w:color="CCCCCC"/>
              <w:right w:val="single" w:sz="1" w:space="0" w:color="CCCCCC"/>
            </w:tcBorders>
            <w:shd w:val="clear" w:color="auto" w:fill="F5F7FA"/>
          </w:tcPr>
          <w:p w14:paraId="0C739B54" w14:textId="77777777" w:rsidR="006D4392" w:rsidRPr="00AD0FF4" w:rsidRDefault="00683A75" w:rsidP="00AD0FF4">
            <w:pPr>
              <w:spacing w:after="200" w:line="360" w:lineRule="auto"/>
              <w:jc w:val="both"/>
            </w:pPr>
            <w:r w:rsidRPr="00AD0FF4">
              <w:rPr>
                <w:rFonts w:eastAsia="Times New Roman"/>
                <w:sz w:val="18"/>
                <w:szCs w:val="18"/>
              </w:rPr>
              <w:t>0.0581</w:t>
            </w:r>
          </w:p>
        </w:tc>
        <w:tc>
          <w:tcPr>
            <w:tcW w:w="900" w:type="dxa"/>
            <w:tcBorders>
              <w:top w:val="single" w:sz="1" w:space="0" w:color="CCCCCC"/>
              <w:left w:val="single" w:sz="1" w:space="0" w:color="CCCCCC"/>
              <w:bottom w:val="single" w:sz="1" w:space="0" w:color="CCCCCC"/>
              <w:right w:val="single" w:sz="1" w:space="0" w:color="CCCCCC"/>
            </w:tcBorders>
            <w:shd w:val="clear" w:color="auto" w:fill="F5F7FA"/>
          </w:tcPr>
          <w:p w14:paraId="4A1AAE0C" w14:textId="77777777" w:rsidR="006D4392" w:rsidRPr="00AD0FF4" w:rsidRDefault="00683A75" w:rsidP="00AD0FF4">
            <w:pPr>
              <w:spacing w:after="200" w:line="360" w:lineRule="auto"/>
              <w:jc w:val="both"/>
            </w:pPr>
            <w:r w:rsidRPr="00AD0FF4">
              <w:rPr>
                <w:rFonts w:eastAsia="Times New Roman"/>
                <w:sz w:val="18"/>
                <w:szCs w:val="18"/>
              </w:rPr>
              <w:t>***</w:t>
            </w:r>
          </w:p>
        </w:tc>
        <w:tc>
          <w:tcPr>
            <w:tcW w:w="1200" w:type="dxa"/>
            <w:tcBorders>
              <w:top w:val="single" w:sz="1" w:space="0" w:color="CCCCCC"/>
              <w:left w:val="single" w:sz="1" w:space="0" w:color="CCCCCC"/>
              <w:bottom w:val="single" w:sz="1" w:space="0" w:color="CCCCCC"/>
              <w:right w:val="single" w:sz="1" w:space="0" w:color="CCCCCC"/>
            </w:tcBorders>
            <w:shd w:val="clear" w:color="auto" w:fill="F5F7FA"/>
          </w:tcPr>
          <w:p w14:paraId="7C93D59A" w14:textId="77777777" w:rsidR="006D4392" w:rsidRPr="00AD0FF4" w:rsidRDefault="00683A75" w:rsidP="00AD0FF4">
            <w:pPr>
              <w:spacing w:after="200" w:line="360" w:lineRule="auto"/>
              <w:jc w:val="both"/>
            </w:pPr>
            <w:r w:rsidRPr="00AD0FF4">
              <w:rPr>
                <w:rFonts w:eastAsia="Times New Roman"/>
                <w:sz w:val="18"/>
                <w:szCs w:val="18"/>
              </w:rPr>
              <w:t>0.0341</w:t>
            </w:r>
          </w:p>
        </w:tc>
        <w:tc>
          <w:tcPr>
            <w:tcW w:w="900" w:type="dxa"/>
            <w:tcBorders>
              <w:top w:val="single" w:sz="1" w:space="0" w:color="CCCCCC"/>
              <w:left w:val="single" w:sz="1" w:space="0" w:color="CCCCCC"/>
              <w:bottom w:val="single" w:sz="1" w:space="0" w:color="CCCCCC"/>
              <w:right w:val="single" w:sz="1" w:space="0" w:color="CCCCCC"/>
            </w:tcBorders>
            <w:shd w:val="clear" w:color="auto" w:fill="F5F7FA"/>
          </w:tcPr>
          <w:p w14:paraId="4E766D94" w14:textId="77777777" w:rsidR="006D4392" w:rsidRPr="00AD0FF4" w:rsidRDefault="00683A75" w:rsidP="00AD0FF4">
            <w:pPr>
              <w:spacing w:after="200" w:line="360" w:lineRule="auto"/>
              <w:jc w:val="both"/>
            </w:pPr>
            <w:r w:rsidRPr="00AD0FF4">
              <w:rPr>
                <w:rFonts w:eastAsia="Times New Roman"/>
                <w:sz w:val="18"/>
                <w:szCs w:val="18"/>
              </w:rPr>
              <w:t>***</w:t>
            </w:r>
          </w:p>
        </w:tc>
      </w:tr>
      <w:tr w:rsidR="006D4392" w:rsidRPr="00AD0FF4" w14:paraId="07113198" w14:textId="77777777">
        <w:tc>
          <w:tcPr>
            <w:tcW w:w="3000" w:type="dxa"/>
            <w:tcBorders>
              <w:top w:val="single" w:sz="1" w:space="0" w:color="CCCCCC"/>
              <w:left w:val="single" w:sz="1" w:space="0" w:color="CCCCCC"/>
              <w:bottom w:val="single" w:sz="1" w:space="0" w:color="CCCCCC"/>
              <w:right w:val="single" w:sz="1" w:space="0" w:color="CCCCCC"/>
            </w:tcBorders>
            <w:shd w:val="clear" w:color="auto" w:fill="FFFFFF"/>
          </w:tcPr>
          <w:p w14:paraId="08EB8E7F" w14:textId="77777777" w:rsidR="006D4392" w:rsidRPr="00AD0FF4" w:rsidRDefault="00683A75" w:rsidP="00AD0FF4">
            <w:pPr>
              <w:spacing w:after="200" w:line="360" w:lineRule="auto"/>
              <w:jc w:val="both"/>
            </w:pPr>
            <w:r w:rsidRPr="00AD0FF4">
              <w:rPr>
                <w:rFonts w:eastAsia="Times New Roman"/>
                <w:sz w:val="18"/>
                <w:szCs w:val="18"/>
              </w:rPr>
              <w:t>D2013 × Op</w:t>
            </w:r>
          </w:p>
        </w:tc>
        <w:tc>
          <w:tcPr>
            <w:tcW w:w="1500" w:type="dxa"/>
            <w:tcBorders>
              <w:top w:val="single" w:sz="1" w:space="0" w:color="CCCCCC"/>
              <w:left w:val="single" w:sz="1" w:space="0" w:color="CCCCCC"/>
              <w:bottom w:val="single" w:sz="1" w:space="0" w:color="CCCCCC"/>
              <w:right w:val="single" w:sz="1" w:space="0" w:color="CCCCCC"/>
            </w:tcBorders>
            <w:shd w:val="clear" w:color="auto" w:fill="FFFFFF"/>
          </w:tcPr>
          <w:p w14:paraId="4FC664A5" w14:textId="77777777" w:rsidR="006D4392" w:rsidRPr="00AD0FF4" w:rsidRDefault="00683A75" w:rsidP="00AD0FF4">
            <w:pPr>
              <w:spacing w:after="200" w:line="360" w:lineRule="auto"/>
              <w:jc w:val="both"/>
            </w:pPr>
            <w:r w:rsidRPr="00AD0FF4">
              <w:rPr>
                <w:rFonts w:eastAsia="Times New Roman"/>
                <w:sz w:val="18"/>
                <w:szCs w:val="18"/>
              </w:rPr>
              <w:t>−0.0030</w:t>
            </w:r>
          </w:p>
        </w:tc>
        <w:tc>
          <w:tcPr>
            <w:tcW w:w="1200" w:type="dxa"/>
            <w:tcBorders>
              <w:top w:val="single" w:sz="1" w:space="0" w:color="CCCCCC"/>
              <w:left w:val="single" w:sz="1" w:space="0" w:color="CCCCCC"/>
              <w:bottom w:val="single" w:sz="1" w:space="0" w:color="CCCCCC"/>
              <w:right w:val="single" w:sz="1" w:space="0" w:color="CCCCCC"/>
            </w:tcBorders>
            <w:shd w:val="clear" w:color="auto" w:fill="FFFFFF"/>
          </w:tcPr>
          <w:p w14:paraId="090FE4DD" w14:textId="77777777" w:rsidR="006D4392" w:rsidRPr="00AD0FF4" w:rsidRDefault="00683A75" w:rsidP="00AD0FF4">
            <w:pPr>
              <w:spacing w:after="200" w:line="360" w:lineRule="auto"/>
              <w:jc w:val="both"/>
            </w:pPr>
            <w:r w:rsidRPr="00AD0FF4">
              <w:rPr>
                <w:rFonts w:eastAsia="Times New Roman"/>
                <w:sz w:val="18"/>
                <w:szCs w:val="18"/>
              </w:rPr>
              <w:t>0.0907</w:t>
            </w:r>
          </w:p>
        </w:tc>
        <w:tc>
          <w:tcPr>
            <w:tcW w:w="900" w:type="dxa"/>
            <w:tcBorders>
              <w:top w:val="single" w:sz="1" w:space="0" w:color="CCCCCC"/>
              <w:left w:val="single" w:sz="1" w:space="0" w:color="CCCCCC"/>
              <w:bottom w:val="single" w:sz="1" w:space="0" w:color="CCCCCC"/>
              <w:right w:val="single" w:sz="1" w:space="0" w:color="CCCCCC"/>
            </w:tcBorders>
            <w:shd w:val="clear" w:color="auto" w:fill="FFFFFF"/>
          </w:tcPr>
          <w:p w14:paraId="41CB9A5F" w14:textId="77777777" w:rsidR="006D4392" w:rsidRPr="00AD0FF4" w:rsidRDefault="00683A75" w:rsidP="00AD0FF4">
            <w:pPr>
              <w:spacing w:after="200" w:line="360" w:lineRule="auto"/>
              <w:jc w:val="both"/>
            </w:pPr>
            <w:r w:rsidRPr="00AD0FF4">
              <w:rPr>
                <w:rFonts w:eastAsia="Times New Roman"/>
                <w:sz w:val="18"/>
                <w:szCs w:val="18"/>
              </w:rPr>
              <w:t>n.s.</w:t>
            </w:r>
          </w:p>
        </w:tc>
        <w:tc>
          <w:tcPr>
            <w:tcW w:w="1200" w:type="dxa"/>
            <w:tcBorders>
              <w:top w:val="single" w:sz="1" w:space="0" w:color="CCCCCC"/>
              <w:left w:val="single" w:sz="1" w:space="0" w:color="CCCCCC"/>
              <w:bottom w:val="single" w:sz="1" w:space="0" w:color="CCCCCC"/>
              <w:right w:val="single" w:sz="1" w:space="0" w:color="CCCCCC"/>
            </w:tcBorders>
            <w:shd w:val="clear" w:color="auto" w:fill="FFFFFF"/>
          </w:tcPr>
          <w:p w14:paraId="3AEE0F2B" w14:textId="77777777" w:rsidR="006D4392" w:rsidRPr="00AD0FF4" w:rsidRDefault="00683A75" w:rsidP="00AD0FF4">
            <w:pPr>
              <w:spacing w:after="200" w:line="360" w:lineRule="auto"/>
              <w:jc w:val="both"/>
            </w:pPr>
            <w:r w:rsidRPr="00AD0FF4">
              <w:rPr>
                <w:rFonts w:eastAsia="Times New Roman"/>
                <w:sz w:val="18"/>
                <w:szCs w:val="18"/>
              </w:rPr>
              <w:t>0.0532</w:t>
            </w:r>
          </w:p>
        </w:tc>
        <w:tc>
          <w:tcPr>
            <w:tcW w:w="900" w:type="dxa"/>
            <w:tcBorders>
              <w:top w:val="single" w:sz="1" w:space="0" w:color="CCCCCC"/>
              <w:left w:val="single" w:sz="1" w:space="0" w:color="CCCCCC"/>
              <w:bottom w:val="single" w:sz="1" w:space="0" w:color="CCCCCC"/>
              <w:right w:val="single" w:sz="1" w:space="0" w:color="CCCCCC"/>
            </w:tcBorders>
            <w:shd w:val="clear" w:color="auto" w:fill="FFFFFF"/>
          </w:tcPr>
          <w:p w14:paraId="59C8CA99" w14:textId="77777777" w:rsidR="006D4392" w:rsidRPr="00AD0FF4" w:rsidRDefault="00683A75" w:rsidP="00AD0FF4">
            <w:pPr>
              <w:spacing w:after="200" w:line="360" w:lineRule="auto"/>
              <w:jc w:val="both"/>
            </w:pPr>
            <w:r w:rsidRPr="00AD0FF4">
              <w:rPr>
                <w:rFonts w:eastAsia="Times New Roman"/>
                <w:sz w:val="18"/>
                <w:szCs w:val="18"/>
              </w:rPr>
              <w:t>n.s.</w:t>
            </w:r>
          </w:p>
        </w:tc>
      </w:tr>
      <w:tr w:rsidR="006D4392" w:rsidRPr="00AD0FF4" w14:paraId="31CD87E2" w14:textId="77777777">
        <w:tc>
          <w:tcPr>
            <w:tcW w:w="3000" w:type="dxa"/>
            <w:tcBorders>
              <w:top w:val="single" w:sz="1" w:space="0" w:color="CCCCCC"/>
              <w:left w:val="single" w:sz="1" w:space="0" w:color="CCCCCC"/>
              <w:bottom w:val="single" w:sz="1" w:space="0" w:color="CCCCCC"/>
              <w:right w:val="single" w:sz="1" w:space="0" w:color="CCCCCC"/>
            </w:tcBorders>
            <w:shd w:val="clear" w:color="auto" w:fill="F5F7FA"/>
          </w:tcPr>
          <w:p w14:paraId="39A837CF" w14:textId="77777777" w:rsidR="006D4392" w:rsidRPr="00AD0FF4" w:rsidRDefault="00683A75" w:rsidP="00AD0FF4">
            <w:pPr>
              <w:spacing w:after="200" w:line="360" w:lineRule="auto"/>
              <w:jc w:val="both"/>
            </w:pPr>
            <w:r w:rsidRPr="00AD0FF4">
              <w:rPr>
                <w:rFonts w:eastAsia="Times New Roman"/>
                <w:sz w:val="18"/>
                <w:szCs w:val="18"/>
              </w:rPr>
              <w:t>R²</w:t>
            </w:r>
          </w:p>
        </w:tc>
        <w:tc>
          <w:tcPr>
            <w:tcW w:w="1500" w:type="dxa"/>
            <w:tcBorders>
              <w:top w:val="single" w:sz="1" w:space="0" w:color="CCCCCC"/>
              <w:left w:val="single" w:sz="1" w:space="0" w:color="CCCCCC"/>
              <w:bottom w:val="single" w:sz="1" w:space="0" w:color="CCCCCC"/>
              <w:right w:val="single" w:sz="1" w:space="0" w:color="CCCCCC"/>
            </w:tcBorders>
            <w:shd w:val="clear" w:color="auto" w:fill="F5F7FA"/>
          </w:tcPr>
          <w:p w14:paraId="0571E4C2" w14:textId="77777777" w:rsidR="006D4392" w:rsidRPr="00AD0FF4" w:rsidRDefault="00683A75" w:rsidP="00AD0FF4">
            <w:pPr>
              <w:spacing w:after="200" w:line="360" w:lineRule="auto"/>
              <w:jc w:val="both"/>
            </w:pPr>
            <w:r w:rsidRPr="00AD0FF4">
              <w:rPr>
                <w:rFonts w:eastAsia="Times New Roman"/>
                <w:sz w:val="18"/>
                <w:szCs w:val="18"/>
              </w:rPr>
              <w:t>0.9497</w:t>
            </w:r>
          </w:p>
        </w:tc>
        <w:tc>
          <w:tcPr>
            <w:tcW w:w="1200" w:type="dxa"/>
            <w:tcBorders>
              <w:top w:val="single" w:sz="1" w:space="0" w:color="CCCCCC"/>
              <w:left w:val="single" w:sz="1" w:space="0" w:color="CCCCCC"/>
              <w:bottom w:val="single" w:sz="1" w:space="0" w:color="CCCCCC"/>
              <w:right w:val="single" w:sz="1" w:space="0" w:color="CCCCCC"/>
            </w:tcBorders>
            <w:shd w:val="clear" w:color="auto" w:fill="F5F7FA"/>
          </w:tcPr>
          <w:p w14:paraId="7D6190CF" w14:textId="77777777" w:rsidR="006D4392" w:rsidRPr="00AD0FF4" w:rsidRDefault="006D4392" w:rsidP="00AD0FF4">
            <w:pPr>
              <w:spacing w:after="200" w:line="360" w:lineRule="auto"/>
              <w:jc w:val="both"/>
            </w:pPr>
          </w:p>
        </w:tc>
        <w:tc>
          <w:tcPr>
            <w:tcW w:w="900" w:type="dxa"/>
            <w:tcBorders>
              <w:top w:val="single" w:sz="1" w:space="0" w:color="CCCCCC"/>
              <w:left w:val="single" w:sz="1" w:space="0" w:color="CCCCCC"/>
              <w:bottom w:val="single" w:sz="1" w:space="0" w:color="CCCCCC"/>
              <w:right w:val="single" w:sz="1" w:space="0" w:color="CCCCCC"/>
            </w:tcBorders>
            <w:shd w:val="clear" w:color="auto" w:fill="F5F7FA"/>
          </w:tcPr>
          <w:p w14:paraId="22FD4718" w14:textId="77777777" w:rsidR="006D4392" w:rsidRPr="00AD0FF4" w:rsidRDefault="006D4392" w:rsidP="00AD0FF4">
            <w:pPr>
              <w:spacing w:after="200" w:line="360" w:lineRule="auto"/>
              <w:jc w:val="both"/>
            </w:pPr>
          </w:p>
        </w:tc>
        <w:tc>
          <w:tcPr>
            <w:tcW w:w="1200" w:type="dxa"/>
            <w:tcBorders>
              <w:top w:val="single" w:sz="1" w:space="0" w:color="CCCCCC"/>
              <w:left w:val="single" w:sz="1" w:space="0" w:color="CCCCCC"/>
              <w:bottom w:val="single" w:sz="1" w:space="0" w:color="CCCCCC"/>
              <w:right w:val="single" w:sz="1" w:space="0" w:color="CCCCCC"/>
            </w:tcBorders>
            <w:shd w:val="clear" w:color="auto" w:fill="F5F7FA"/>
          </w:tcPr>
          <w:p w14:paraId="699D1ACA" w14:textId="77777777" w:rsidR="006D4392" w:rsidRPr="00AD0FF4" w:rsidRDefault="006D4392" w:rsidP="00AD0FF4">
            <w:pPr>
              <w:spacing w:after="200" w:line="360" w:lineRule="auto"/>
              <w:jc w:val="both"/>
            </w:pPr>
          </w:p>
        </w:tc>
        <w:tc>
          <w:tcPr>
            <w:tcW w:w="900" w:type="dxa"/>
            <w:tcBorders>
              <w:top w:val="single" w:sz="1" w:space="0" w:color="CCCCCC"/>
              <w:left w:val="single" w:sz="1" w:space="0" w:color="CCCCCC"/>
              <w:bottom w:val="single" w:sz="1" w:space="0" w:color="CCCCCC"/>
              <w:right w:val="single" w:sz="1" w:space="0" w:color="CCCCCC"/>
            </w:tcBorders>
            <w:shd w:val="clear" w:color="auto" w:fill="F5F7FA"/>
          </w:tcPr>
          <w:p w14:paraId="4B19A4A1" w14:textId="77777777" w:rsidR="006D4392" w:rsidRPr="00AD0FF4" w:rsidRDefault="006D4392" w:rsidP="00AD0FF4">
            <w:pPr>
              <w:spacing w:after="200" w:line="360" w:lineRule="auto"/>
              <w:jc w:val="both"/>
            </w:pPr>
          </w:p>
        </w:tc>
      </w:tr>
      <w:tr w:rsidR="006D4392" w:rsidRPr="00AD0FF4" w14:paraId="4C0D4F51" w14:textId="77777777">
        <w:tc>
          <w:tcPr>
            <w:tcW w:w="3000" w:type="dxa"/>
            <w:tcBorders>
              <w:top w:val="single" w:sz="1" w:space="0" w:color="CCCCCC"/>
              <w:left w:val="single" w:sz="1" w:space="0" w:color="CCCCCC"/>
              <w:bottom w:val="single" w:sz="1" w:space="0" w:color="CCCCCC"/>
              <w:right w:val="single" w:sz="1" w:space="0" w:color="CCCCCC"/>
            </w:tcBorders>
            <w:shd w:val="clear" w:color="auto" w:fill="FFFFFF"/>
          </w:tcPr>
          <w:p w14:paraId="34E2C94F" w14:textId="77777777" w:rsidR="006D4392" w:rsidRPr="00AD0FF4" w:rsidRDefault="00683A75" w:rsidP="00AD0FF4">
            <w:pPr>
              <w:spacing w:after="200" w:line="360" w:lineRule="auto"/>
              <w:jc w:val="both"/>
            </w:pPr>
            <w:r w:rsidRPr="00AD0FF4">
              <w:rPr>
                <w:rFonts w:eastAsia="Times New Roman"/>
                <w:sz w:val="18"/>
                <w:szCs w:val="18"/>
              </w:rPr>
              <w:t>Adj. R²</w:t>
            </w:r>
          </w:p>
        </w:tc>
        <w:tc>
          <w:tcPr>
            <w:tcW w:w="1500" w:type="dxa"/>
            <w:tcBorders>
              <w:top w:val="single" w:sz="1" w:space="0" w:color="CCCCCC"/>
              <w:left w:val="single" w:sz="1" w:space="0" w:color="CCCCCC"/>
              <w:bottom w:val="single" w:sz="1" w:space="0" w:color="CCCCCC"/>
              <w:right w:val="single" w:sz="1" w:space="0" w:color="CCCCCC"/>
            </w:tcBorders>
            <w:shd w:val="clear" w:color="auto" w:fill="FFFFFF"/>
          </w:tcPr>
          <w:p w14:paraId="7B51BE3A" w14:textId="77777777" w:rsidR="006D4392" w:rsidRPr="00AD0FF4" w:rsidRDefault="00683A75" w:rsidP="00AD0FF4">
            <w:pPr>
              <w:spacing w:after="200" w:line="360" w:lineRule="auto"/>
              <w:jc w:val="both"/>
            </w:pPr>
            <w:r w:rsidRPr="00AD0FF4">
              <w:rPr>
                <w:rFonts w:eastAsia="Times New Roman"/>
                <w:sz w:val="18"/>
                <w:szCs w:val="18"/>
              </w:rPr>
              <w:t>0.9246</w:t>
            </w:r>
          </w:p>
        </w:tc>
        <w:tc>
          <w:tcPr>
            <w:tcW w:w="1200" w:type="dxa"/>
            <w:tcBorders>
              <w:top w:val="single" w:sz="1" w:space="0" w:color="CCCCCC"/>
              <w:left w:val="single" w:sz="1" w:space="0" w:color="CCCCCC"/>
              <w:bottom w:val="single" w:sz="1" w:space="0" w:color="CCCCCC"/>
              <w:right w:val="single" w:sz="1" w:space="0" w:color="CCCCCC"/>
            </w:tcBorders>
            <w:shd w:val="clear" w:color="auto" w:fill="FFFFFF"/>
          </w:tcPr>
          <w:p w14:paraId="09FBB1CE" w14:textId="77777777" w:rsidR="006D4392" w:rsidRPr="00AD0FF4" w:rsidRDefault="006D4392" w:rsidP="00AD0FF4">
            <w:pPr>
              <w:spacing w:after="200" w:line="360" w:lineRule="auto"/>
              <w:jc w:val="both"/>
            </w:pPr>
          </w:p>
        </w:tc>
        <w:tc>
          <w:tcPr>
            <w:tcW w:w="900" w:type="dxa"/>
            <w:tcBorders>
              <w:top w:val="single" w:sz="1" w:space="0" w:color="CCCCCC"/>
              <w:left w:val="single" w:sz="1" w:space="0" w:color="CCCCCC"/>
              <w:bottom w:val="single" w:sz="1" w:space="0" w:color="CCCCCC"/>
              <w:right w:val="single" w:sz="1" w:space="0" w:color="CCCCCC"/>
            </w:tcBorders>
            <w:shd w:val="clear" w:color="auto" w:fill="FFFFFF"/>
          </w:tcPr>
          <w:p w14:paraId="17E0F3B2" w14:textId="77777777" w:rsidR="006D4392" w:rsidRPr="00AD0FF4" w:rsidRDefault="006D4392" w:rsidP="00AD0FF4">
            <w:pPr>
              <w:spacing w:after="200" w:line="360" w:lineRule="auto"/>
              <w:jc w:val="both"/>
            </w:pPr>
          </w:p>
        </w:tc>
        <w:tc>
          <w:tcPr>
            <w:tcW w:w="1200" w:type="dxa"/>
            <w:tcBorders>
              <w:top w:val="single" w:sz="1" w:space="0" w:color="CCCCCC"/>
              <w:left w:val="single" w:sz="1" w:space="0" w:color="CCCCCC"/>
              <w:bottom w:val="single" w:sz="1" w:space="0" w:color="CCCCCC"/>
              <w:right w:val="single" w:sz="1" w:space="0" w:color="CCCCCC"/>
            </w:tcBorders>
            <w:shd w:val="clear" w:color="auto" w:fill="FFFFFF"/>
          </w:tcPr>
          <w:p w14:paraId="2BF1AE8F" w14:textId="77777777" w:rsidR="006D4392" w:rsidRPr="00AD0FF4" w:rsidRDefault="006D4392" w:rsidP="00AD0FF4">
            <w:pPr>
              <w:spacing w:after="200" w:line="360" w:lineRule="auto"/>
              <w:jc w:val="both"/>
            </w:pPr>
          </w:p>
        </w:tc>
        <w:tc>
          <w:tcPr>
            <w:tcW w:w="900" w:type="dxa"/>
            <w:tcBorders>
              <w:top w:val="single" w:sz="1" w:space="0" w:color="CCCCCC"/>
              <w:left w:val="single" w:sz="1" w:space="0" w:color="CCCCCC"/>
              <w:bottom w:val="single" w:sz="1" w:space="0" w:color="CCCCCC"/>
              <w:right w:val="single" w:sz="1" w:space="0" w:color="CCCCCC"/>
            </w:tcBorders>
            <w:shd w:val="clear" w:color="auto" w:fill="FFFFFF"/>
          </w:tcPr>
          <w:p w14:paraId="71C274F2" w14:textId="77777777" w:rsidR="006D4392" w:rsidRPr="00AD0FF4" w:rsidRDefault="006D4392" w:rsidP="00AD0FF4">
            <w:pPr>
              <w:spacing w:after="200" w:line="360" w:lineRule="auto"/>
              <w:jc w:val="both"/>
            </w:pPr>
          </w:p>
        </w:tc>
      </w:tr>
      <w:tr w:rsidR="006D4392" w:rsidRPr="00AD0FF4" w14:paraId="09E94432" w14:textId="77777777">
        <w:tc>
          <w:tcPr>
            <w:tcW w:w="3000" w:type="dxa"/>
            <w:tcBorders>
              <w:top w:val="single" w:sz="1" w:space="0" w:color="CCCCCC"/>
              <w:left w:val="single" w:sz="1" w:space="0" w:color="CCCCCC"/>
              <w:bottom w:val="single" w:sz="1" w:space="0" w:color="CCCCCC"/>
              <w:right w:val="single" w:sz="1" w:space="0" w:color="CCCCCC"/>
            </w:tcBorders>
            <w:shd w:val="clear" w:color="auto" w:fill="F5F7FA"/>
          </w:tcPr>
          <w:p w14:paraId="35A8A361" w14:textId="77777777" w:rsidR="006D4392" w:rsidRPr="00AD0FF4" w:rsidRDefault="00683A75" w:rsidP="00AD0FF4">
            <w:pPr>
              <w:spacing w:after="200" w:line="360" w:lineRule="auto"/>
              <w:jc w:val="both"/>
            </w:pPr>
            <w:r w:rsidRPr="00AD0FF4">
              <w:rPr>
                <w:rFonts w:eastAsia="Times New Roman"/>
                <w:sz w:val="18"/>
                <w:szCs w:val="18"/>
              </w:rPr>
              <w:t>DW</w:t>
            </w:r>
          </w:p>
        </w:tc>
        <w:tc>
          <w:tcPr>
            <w:tcW w:w="1500" w:type="dxa"/>
            <w:tcBorders>
              <w:top w:val="single" w:sz="1" w:space="0" w:color="CCCCCC"/>
              <w:left w:val="single" w:sz="1" w:space="0" w:color="CCCCCC"/>
              <w:bottom w:val="single" w:sz="1" w:space="0" w:color="CCCCCC"/>
              <w:right w:val="single" w:sz="1" w:space="0" w:color="CCCCCC"/>
            </w:tcBorders>
            <w:shd w:val="clear" w:color="auto" w:fill="F5F7FA"/>
          </w:tcPr>
          <w:p w14:paraId="2190889F" w14:textId="77777777" w:rsidR="006D4392" w:rsidRPr="00AD0FF4" w:rsidRDefault="00683A75" w:rsidP="00AD0FF4">
            <w:pPr>
              <w:spacing w:after="200" w:line="360" w:lineRule="auto"/>
              <w:jc w:val="both"/>
            </w:pPr>
            <w:r w:rsidRPr="00AD0FF4">
              <w:rPr>
                <w:rFonts w:eastAsia="Times New Roman"/>
                <w:sz w:val="18"/>
                <w:szCs w:val="18"/>
              </w:rPr>
              <w:t>1.440</w:t>
            </w:r>
          </w:p>
        </w:tc>
        <w:tc>
          <w:tcPr>
            <w:tcW w:w="1200" w:type="dxa"/>
            <w:tcBorders>
              <w:top w:val="single" w:sz="1" w:space="0" w:color="CCCCCC"/>
              <w:left w:val="single" w:sz="1" w:space="0" w:color="CCCCCC"/>
              <w:bottom w:val="single" w:sz="1" w:space="0" w:color="CCCCCC"/>
              <w:right w:val="single" w:sz="1" w:space="0" w:color="CCCCCC"/>
            </w:tcBorders>
            <w:shd w:val="clear" w:color="auto" w:fill="F5F7FA"/>
          </w:tcPr>
          <w:p w14:paraId="40D60112" w14:textId="77777777" w:rsidR="006D4392" w:rsidRPr="00AD0FF4" w:rsidRDefault="006D4392" w:rsidP="00AD0FF4">
            <w:pPr>
              <w:spacing w:after="200" w:line="360" w:lineRule="auto"/>
              <w:jc w:val="both"/>
            </w:pPr>
          </w:p>
        </w:tc>
        <w:tc>
          <w:tcPr>
            <w:tcW w:w="900" w:type="dxa"/>
            <w:tcBorders>
              <w:top w:val="single" w:sz="1" w:space="0" w:color="CCCCCC"/>
              <w:left w:val="single" w:sz="1" w:space="0" w:color="CCCCCC"/>
              <w:bottom w:val="single" w:sz="1" w:space="0" w:color="CCCCCC"/>
              <w:right w:val="single" w:sz="1" w:space="0" w:color="CCCCCC"/>
            </w:tcBorders>
            <w:shd w:val="clear" w:color="auto" w:fill="F5F7FA"/>
          </w:tcPr>
          <w:p w14:paraId="6CF3EA0D" w14:textId="77777777" w:rsidR="006D4392" w:rsidRPr="00AD0FF4" w:rsidRDefault="006D4392" w:rsidP="00AD0FF4">
            <w:pPr>
              <w:spacing w:after="200" w:line="360" w:lineRule="auto"/>
              <w:jc w:val="both"/>
            </w:pPr>
          </w:p>
        </w:tc>
        <w:tc>
          <w:tcPr>
            <w:tcW w:w="1200" w:type="dxa"/>
            <w:tcBorders>
              <w:top w:val="single" w:sz="1" w:space="0" w:color="CCCCCC"/>
              <w:left w:val="single" w:sz="1" w:space="0" w:color="CCCCCC"/>
              <w:bottom w:val="single" w:sz="1" w:space="0" w:color="CCCCCC"/>
              <w:right w:val="single" w:sz="1" w:space="0" w:color="CCCCCC"/>
            </w:tcBorders>
            <w:shd w:val="clear" w:color="auto" w:fill="F5F7FA"/>
          </w:tcPr>
          <w:p w14:paraId="6466DEBF" w14:textId="77777777" w:rsidR="006D4392" w:rsidRPr="00AD0FF4" w:rsidRDefault="006D4392" w:rsidP="00AD0FF4">
            <w:pPr>
              <w:spacing w:after="200" w:line="360" w:lineRule="auto"/>
              <w:jc w:val="both"/>
            </w:pPr>
          </w:p>
        </w:tc>
        <w:tc>
          <w:tcPr>
            <w:tcW w:w="900" w:type="dxa"/>
            <w:tcBorders>
              <w:top w:val="single" w:sz="1" w:space="0" w:color="CCCCCC"/>
              <w:left w:val="single" w:sz="1" w:space="0" w:color="CCCCCC"/>
              <w:bottom w:val="single" w:sz="1" w:space="0" w:color="CCCCCC"/>
              <w:right w:val="single" w:sz="1" w:space="0" w:color="CCCCCC"/>
            </w:tcBorders>
            <w:shd w:val="clear" w:color="auto" w:fill="F5F7FA"/>
          </w:tcPr>
          <w:p w14:paraId="597C2020" w14:textId="77777777" w:rsidR="006D4392" w:rsidRPr="00AD0FF4" w:rsidRDefault="006D4392" w:rsidP="00AD0FF4">
            <w:pPr>
              <w:spacing w:after="200" w:line="360" w:lineRule="auto"/>
              <w:jc w:val="both"/>
            </w:pPr>
          </w:p>
        </w:tc>
      </w:tr>
      <w:tr w:rsidR="006D4392" w:rsidRPr="00AD0FF4" w14:paraId="74F81D79" w14:textId="77777777">
        <w:tc>
          <w:tcPr>
            <w:tcW w:w="3000" w:type="dxa"/>
            <w:tcBorders>
              <w:top w:val="single" w:sz="1" w:space="0" w:color="CCCCCC"/>
              <w:left w:val="single" w:sz="1" w:space="0" w:color="CCCCCC"/>
              <w:bottom w:val="single" w:sz="1" w:space="0" w:color="CCCCCC"/>
              <w:right w:val="single" w:sz="1" w:space="0" w:color="CCCCCC"/>
            </w:tcBorders>
            <w:shd w:val="clear" w:color="auto" w:fill="FFFFFF"/>
          </w:tcPr>
          <w:p w14:paraId="54E9DA1A" w14:textId="77777777" w:rsidR="006D4392" w:rsidRPr="00AD0FF4" w:rsidRDefault="00683A75" w:rsidP="00AD0FF4">
            <w:pPr>
              <w:spacing w:after="200" w:line="360" w:lineRule="auto"/>
              <w:jc w:val="both"/>
            </w:pPr>
            <w:r w:rsidRPr="00AD0FF4">
              <w:rPr>
                <w:rFonts w:eastAsia="Times New Roman"/>
                <w:sz w:val="18"/>
                <w:szCs w:val="18"/>
              </w:rPr>
              <w:t>N</w:t>
            </w:r>
          </w:p>
        </w:tc>
        <w:tc>
          <w:tcPr>
            <w:tcW w:w="1500" w:type="dxa"/>
            <w:tcBorders>
              <w:top w:val="single" w:sz="1" w:space="0" w:color="CCCCCC"/>
              <w:left w:val="single" w:sz="1" w:space="0" w:color="CCCCCC"/>
              <w:bottom w:val="single" w:sz="1" w:space="0" w:color="CCCCCC"/>
              <w:right w:val="single" w:sz="1" w:space="0" w:color="CCCCCC"/>
            </w:tcBorders>
            <w:shd w:val="clear" w:color="auto" w:fill="FFFFFF"/>
          </w:tcPr>
          <w:p w14:paraId="2A60EA2B" w14:textId="77777777" w:rsidR="006D4392" w:rsidRPr="00AD0FF4" w:rsidRDefault="00683A75" w:rsidP="00AD0FF4">
            <w:pPr>
              <w:spacing w:after="200" w:line="360" w:lineRule="auto"/>
              <w:jc w:val="both"/>
            </w:pPr>
            <w:r w:rsidRPr="00AD0FF4">
              <w:rPr>
                <w:rFonts w:eastAsia="Times New Roman"/>
                <w:sz w:val="18"/>
                <w:szCs w:val="18"/>
              </w:rPr>
              <w:t>34</w:t>
            </w:r>
          </w:p>
        </w:tc>
        <w:tc>
          <w:tcPr>
            <w:tcW w:w="1200" w:type="dxa"/>
            <w:tcBorders>
              <w:top w:val="single" w:sz="1" w:space="0" w:color="CCCCCC"/>
              <w:left w:val="single" w:sz="1" w:space="0" w:color="CCCCCC"/>
              <w:bottom w:val="single" w:sz="1" w:space="0" w:color="CCCCCC"/>
              <w:right w:val="single" w:sz="1" w:space="0" w:color="CCCCCC"/>
            </w:tcBorders>
            <w:shd w:val="clear" w:color="auto" w:fill="FFFFFF"/>
          </w:tcPr>
          <w:p w14:paraId="63043B7A" w14:textId="77777777" w:rsidR="006D4392" w:rsidRPr="00AD0FF4" w:rsidRDefault="006D4392" w:rsidP="00AD0FF4">
            <w:pPr>
              <w:spacing w:after="200" w:line="360" w:lineRule="auto"/>
              <w:jc w:val="both"/>
            </w:pPr>
          </w:p>
        </w:tc>
        <w:tc>
          <w:tcPr>
            <w:tcW w:w="900" w:type="dxa"/>
            <w:tcBorders>
              <w:top w:val="single" w:sz="1" w:space="0" w:color="CCCCCC"/>
              <w:left w:val="single" w:sz="1" w:space="0" w:color="CCCCCC"/>
              <w:bottom w:val="single" w:sz="1" w:space="0" w:color="CCCCCC"/>
              <w:right w:val="single" w:sz="1" w:space="0" w:color="CCCCCC"/>
            </w:tcBorders>
            <w:shd w:val="clear" w:color="auto" w:fill="FFFFFF"/>
          </w:tcPr>
          <w:p w14:paraId="346A9894" w14:textId="77777777" w:rsidR="006D4392" w:rsidRPr="00AD0FF4" w:rsidRDefault="006D4392" w:rsidP="00AD0FF4">
            <w:pPr>
              <w:spacing w:after="200" w:line="360" w:lineRule="auto"/>
              <w:jc w:val="both"/>
            </w:pPr>
          </w:p>
        </w:tc>
        <w:tc>
          <w:tcPr>
            <w:tcW w:w="1200" w:type="dxa"/>
            <w:tcBorders>
              <w:top w:val="single" w:sz="1" w:space="0" w:color="CCCCCC"/>
              <w:left w:val="single" w:sz="1" w:space="0" w:color="CCCCCC"/>
              <w:bottom w:val="single" w:sz="1" w:space="0" w:color="CCCCCC"/>
              <w:right w:val="single" w:sz="1" w:space="0" w:color="CCCCCC"/>
            </w:tcBorders>
            <w:shd w:val="clear" w:color="auto" w:fill="FFFFFF"/>
          </w:tcPr>
          <w:p w14:paraId="786C36C3" w14:textId="77777777" w:rsidR="006D4392" w:rsidRPr="00AD0FF4" w:rsidRDefault="006D4392" w:rsidP="00AD0FF4">
            <w:pPr>
              <w:spacing w:after="200" w:line="360" w:lineRule="auto"/>
              <w:jc w:val="both"/>
            </w:pPr>
          </w:p>
        </w:tc>
        <w:tc>
          <w:tcPr>
            <w:tcW w:w="900" w:type="dxa"/>
            <w:tcBorders>
              <w:top w:val="single" w:sz="1" w:space="0" w:color="CCCCCC"/>
              <w:left w:val="single" w:sz="1" w:space="0" w:color="CCCCCC"/>
              <w:bottom w:val="single" w:sz="1" w:space="0" w:color="CCCCCC"/>
              <w:right w:val="single" w:sz="1" w:space="0" w:color="CCCCCC"/>
            </w:tcBorders>
            <w:shd w:val="clear" w:color="auto" w:fill="FFFFFF"/>
          </w:tcPr>
          <w:p w14:paraId="6A7DBE3D" w14:textId="77777777" w:rsidR="006D4392" w:rsidRPr="00AD0FF4" w:rsidRDefault="006D4392" w:rsidP="00AD0FF4">
            <w:pPr>
              <w:spacing w:after="200" w:line="360" w:lineRule="auto"/>
              <w:jc w:val="both"/>
            </w:pPr>
          </w:p>
        </w:tc>
      </w:tr>
    </w:tbl>
    <w:p w14:paraId="6D8F99B3" w14:textId="77777777" w:rsidR="006D4392" w:rsidRPr="00AD0FF4" w:rsidRDefault="00683A75" w:rsidP="00AD0FF4">
      <w:pPr>
        <w:spacing w:after="200" w:line="360" w:lineRule="auto"/>
        <w:jc w:val="both"/>
      </w:pPr>
      <w:r w:rsidRPr="00AD0FF4">
        <w:rPr>
          <w:rFonts w:eastAsia="Times New Roman"/>
          <w:i/>
          <w:iCs/>
          <w:sz w:val="18"/>
          <w:szCs w:val="18"/>
        </w:rPr>
        <w:t>Notes: Dependent variable: ln(pcRGDP_USD). HC1 = heteroskedasticity-robust SE. HAC = Newey-West SE (maxlags=3). *** p&lt;0.01, ** p&lt;0.05, * p&lt;0.10, ++ p&lt;0.15, n.s. = not significant. nan indicates perfect collinearity in Phase 1 (only 4 observations).</w:t>
      </w:r>
    </w:p>
    <w:p w14:paraId="390853DA" w14:textId="77777777" w:rsidR="006D4392" w:rsidRPr="00AD0FF4" w:rsidRDefault="006D4392" w:rsidP="00AD0FF4">
      <w:pPr>
        <w:spacing w:after="200" w:line="360" w:lineRule="auto"/>
        <w:jc w:val="both"/>
      </w:pPr>
    </w:p>
    <w:p w14:paraId="0F85945C" w14:textId="77777777" w:rsidR="006D4392" w:rsidRPr="00AD0FF4" w:rsidRDefault="00683A75" w:rsidP="00AD0FF4">
      <w:pPr>
        <w:spacing w:after="200" w:line="360" w:lineRule="auto"/>
        <w:jc w:val="both"/>
      </w:pPr>
      <w:r w:rsidRPr="00AD0FF4">
        <w:rPr>
          <w:rFonts w:eastAsia="Times New Roman"/>
          <w:b/>
          <w:bCs/>
          <w:sz w:val="22"/>
          <w:szCs w:val="22"/>
        </w:rPr>
        <w:t>Table 2: Gini Equation — ln(Gini_market)</w:t>
      </w:r>
    </w:p>
    <w:p w14:paraId="12994FD0" w14:textId="77777777" w:rsidR="006D4392" w:rsidRPr="00AD0FF4" w:rsidRDefault="00683A75" w:rsidP="00AD0FF4">
      <w:pPr>
        <w:spacing w:after="200" w:line="360" w:lineRule="auto"/>
        <w:jc w:val="both"/>
      </w:pPr>
      <w:r w:rsidRPr="00AD0FF4">
        <w:rPr>
          <w:rFonts w:eastAsia="Times New Roman"/>
          <w:sz w:val="18"/>
          <w:szCs w:val="18"/>
        </w:rPr>
        <w:t>Sample: N=34, 1988–2021 | Structural breaks: D1992, D2013</w:t>
      </w:r>
    </w:p>
    <w:p w14:paraId="1E978F7E" w14:textId="77777777" w:rsidR="006D4392" w:rsidRPr="00AD0FF4" w:rsidRDefault="006D4392" w:rsidP="00AD0FF4">
      <w:pPr>
        <w:spacing w:after="200" w:line="360" w:lineRule="auto"/>
        <w:jc w:val="both"/>
      </w:pPr>
    </w:p>
    <w:tbl>
      <w:tblPr>
        <w:tblW w:w="87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1500"/>
        <w:gridCol w:w="1200"/>
        <w:gridCol w:w="900"/>
        <w:gridCol w:w="1200"/>
        <w:gridCol w:w="900"/>
      </w:tblGrid>
      <w:tr w:rsidR="006D4392" w:rsidRPr="00AD0FF4" w14:paraId="495B46D7" w14:textId="77777777">
        <w:tc>
          <w:tcPr>
            <w:tcW w:w="3000" w:type="dxa"/>
            <w:tcBorders>
              <w:top w:val="single" w:sz="4" w:space="0" w:color="2E4B8F"/>
              <w:left w:val="single" w:sz="4" w:space="0" w:color="2E4B8F"/>
              <w:bottom w:val="single" w:sz="4" w:space="0" w:color="2E4B8F"/>
              <w:right w:val="single" w:sz="4" w:space="0" w:color="2E4B8F"/>
            </w:tcBorders>
            <w:shd w:val="clear" w:color="auto" w:fill="2E4B8F"/>
          </w:tcPr>
          <w:p w14:paraId="37689FB4" w14:textId="77777777" w:rsidR="006D4392" w:rsidRPr="00AD0FF4" w:rsidRDefault="00683A75" w:rsidP="00AD0FF4">
            <w:pPr>
              <w:spacing w:after="200" w:line="360" w:lineRule="auto"/>
              <w:jc w:val="both"/>
            </w:pPr>
            <w:r w:rsidRPr="00AD0FF4">
              <w:rPr>
                <w:rFonts w:eastAsia="Times New Roman"/>
                <w:b/>
                <w:bCs/>
                <w:color w:val="FFFFFF"/>
                <w:sz w:val="18"/>
                <w:szCs w:val="18"/>
              </w:rPr>
              <w:t>Variable</w:t>
            </w:r>
          </w:p>
        </w:tc>
        <w:tc>
          <w:tcPr>
            <w:tcW w:w="1500" w:type="dxa"/>
            <w:tcBorders>
              <w:top w:val="single" w:sz="4" w:space="0" w:color="2E4B8F"/>
              <w:left w:val="single" w:sz="4" w:space="0" w:color="2E4B8F"/>
              <w:bottom w:val="single" w:sz="4" w:space="0" w:color="2E4B8F"/>
              <w:right w:val="single" w:sz="4" w:space="0" w:color="2E4B8F"/>
            </w:tcBorders>
            <w:shd w:val="clear" w:color="auto" w:fill="2E4B8F"/>
          </w:tcPr>
          <w:p w14:paraId="43C38871" w14:textId="77777777" w:rsidR="006D4392" w:rsidRPr="00AD0FF4" w:rsidRDefault="00683A75" w:rsidP="00AD0FF4">
            <w:pPr>
              <w:spacing w:after="200" w:line="360" w:lineRule="auto"/>
              <w:jc w:val="both"/>
            </w:pPr>
            <w:r w:rsidRPr="00AD0FF4">
              <w:rPr>
                <w:rFonts w:eastAsia="Times New Roman"/>
                <w:b/>
                <w:bCs/>
                <w:color w:val="FFFFFF"/>
                <w:sz w:val="18"/>
                <w:szCs w:val="18"/>
              </w:rPr>
              <w:t>Coef.</w:t>
            </w:r>
          </w:p>
        </w:tc>
        <w:tc>
          <w:tcPr>
            <w:tcW w:w="1200" w:type="dxa"/>
            <w:tcBorders>
              <w:top w:val="single" w:sz="4" w:space="0" w:color="2E4B8F"/>
              <w:left w:val="single" w:sz="4" w:space="0" w:color="2E4B8F"/>
              <w:bottom w:val="single" w:sz="4" w:space="0" w:color="2E4B8F"/>
              <w:right w:val="single" w:sz="4" w:space="0" w:color="2E4B8F"/>
            </w:tcBorders>
            <w:shd w:val="clear" w:color="auto" w:fill="2E4B8F"/>
          </w:tcPr>
          <w:p w14:paraId="3F563EE7" w14:textId="77777777" w:rsidR="006D4392" w:rsidRPr="00AD0FF4" w:rsidRDefault="00683A75" w:rsidP="00AD0FF4">
            <w:pPr>
              <w:spacing w:after="200" w:line="360" w:lineRule="auto"/>
              <w:jc w:val="both"/>
            </w:pPr>
            <w:r w:rsidRPr="00AD0FF4">
              <w:rPr>
                <w:rFonts w:eastAsia="Times New Roman"/>
                <w:b/>
                <w:bCs/>
                <w:color w:val="FFFFFF"/>
                <w:sz w:val="18"/>
                <w:szCs w:val="18"/>
              </w:rPr>
              <w:t>HC1 SE</w:t>
            </w:r>
          </w:p>
        </w:tc>
        <w:tc>
          <w:tcPr>
            <w:tcW w:w="900" w:type="dxa"/>
            <w:tcBorders>
              <w:top w:val="single" w:sz="4" w:space="0" w:color="2E4B8F"/>
              <w:left w:val="single" w:sz="4" w:space="0" w:color="2E4B8F"/>
              <w:bottom w:val="single" w:sz="4" w:space="0" w:color="2E4B8F"/>
              <w:right w:val="single" w:sz="4" w:space="0" w:color="2E4B8F"/>
            </w:tcBorders>
            <w:shd w:val="clear" w:color="auto" w:fill="2E4B8F"/>
          </w:tcPr>
          <w:p w14:paraId="6AB7F450" w14:textId="77777777" w:rsidR="006D4392" w:rsidRPr="00AD0FF4" w:rsidRDefault="00683A75" w:rsidP="00AD0FF4">
            <w:pPr>
              <w:spacing w:after="200" w:line="360" w:lineRule="auto"/>
              <w:jc w:val="both"/>
            </w:pPr>
            <w:r w:rsidRPr="00AD0FF4">
              <w:rPr>
                <w:rFonts w:eastAsia="Times New Roman"/>
                <w:b/>
                <w:bCs/>
                <w:color w:val="FFFFFF"/>
                <w:sz w:val="18"/>
                <w:szCs w:val="18"/>
              </w:rPr>
              <w:t>Sig.</w:t>
            </w:r>
          </w:p>
        </w:tc>
        <w:tc>
          <w:tcPr>
            <w:tcW w:w="1200" w:type="dxa"/>
            <w:tcBorders>
              <w:top w:val="single" w:sz="4" w:space="0" w:color="2E4B8F"/>
              <w:left w:val="single" w:sz="4" w:space="0" w:color="2E4B8F"/>
              <w:bottom w:val="single" w:sz="4" w:space="0" w:color="2E4B8F"/>
              <w:right w:val="single" w:sz="4" w:space="0" w:color="2E4B8F"/>
            </w:tcBorders>
            <w:shd w:val="clear" w:color="auto" w:fill="2E4B8F"/>
          </w:tcPr>
          <w:p w14:paraId="2E249D72" w14:textId="77777777" w:rsidR="006D4392" w:rsidRPr="00AD0FF4" w:rsidRDefault="00683A75" w:rsidP="00AD0FF4">
            <w:pPr>
              <w:spacing w:after="200" w:line="360" w:lineRule="auto"/>
              <w:jc w:val="both"/>
            </w:pPr>
            <w:r w:rsidRPr="00AD0FF4">
              <w:rPr>
                <w:rFonts w:eastAsia="Times New Roman"/>
                <w:b/>
                <w:bCs/>
                <w:color w:val="FFFFFF"/>
                <w:sz w:val="18"/>
                <w:szCs w:val="18"/>
              </w:rPr>
              <w:t>HAC SE</w:t>
            </w:r>
          </w:p>
        </w:tc>
        <w:tc>
          <w:tcPr>
            <w:tcW w:w="900" w:type="dxa"/>
            <w:tcBorders>
              <w:top w:val="single" w:sz="4" w:space="0" w:color="2E4B8F"/>
              <w:left w:val="single" w:sz="4" w:space="0" w:color="2E4B8F"/>
              <w:bottom w:val="single" w:sz="4" w:space="0" w:color="2E4B8F"/>
              <w:right w:val="single" w:sz="4" w:space="0" w:color="2E4B8F"/>
            </w:tcBorders>
            <w:shd w:val="clear" w:color="auto" w:fill="2E4B8F"/>
          </w:tcPr>
          <w:p w14:paraId="4DB8E5F8" w14:textId="77777777" w:rsidR="006D4392" w:rsidRPr="00AD0FF4" w:rsidRDefault="00683A75" w:rsidP="00AD0FF4">
            <w:pPr>
              <w:spacing w:after="200" w:line="360" w:lineRule="auto"/>
              <w:jc w:val="both"/>
            </w:pPr>
            <w:r w:rsidRPr="00AD0FF4">
              <w:rPr>
                <w:rFonts w:eastAsia="Times New Roman"/>
                <w:b/>
                <w:bCs/>
                <w:color w:val="FFFFFF"/>
                <w:sz w:val="18"/>
                <w:szCs w:val="18"/>
              </w:rPr>
              <w:t>Sig.</w:t>
            </w:r>
          </w:p>
        </w:tc>
      </w:tr>
      <w:tr w:rsidR="006D4392" w:rsidRPr="00AD0FF4" w14:paraId="32708A6B" w14:textId="77777777">
        <w:tc>
          <w:tcPr>
            <w:tcW w:w="3000" w:type="dxa"/>
            <w:tcBorders>
              <w:top w:val="single" w:sz="1" w:space="0" w:color="CCCCCC"/>
              <w:left w:val="single" w:sz="1" w:space="0" w:color="CCCCCC"/>
              <w:bottom w:val="single" w:sz="1" w:space="0" w:color="CCCCCC"/>
              <w:right w:val="single" w:sz="1" w:space="0" w:color="CCCCCC"/>
            </w:tcBorders>
            <w:shd w:val="clear" w:color="auto" w:fill="F5F7FA"/>
          </w:tcPr>
          <w:p w14:paraId="4DB98796" w14:textId="77777777" w:rsidR="006D4392" w:rsidRPr="00AD0FF4" w:rsidRDefault="00683A75" w:rsidP="00AD0FF4">
            <w:pPr>
              <w:spacing w:after="200" w:line="360" w:lineRule="auto"/>
              <w:jc w:val="both"/>
            </w:pPr>
            <w:r w:rsidRPr="00AD0FF4">
              <w:rPr>
                <w:rFonts w:eastAsia="Times New Roman"/>
                <w:sz w:val="18"/>
                <w:szCs w:val="18"/>
              </w:rPr>
              <w:t>Constant (α)</w:t>
            </w:r>
          </w:p>
        </w:tc>
        <w:tc>
          <w:tcPr>
            <w:tcW w:w="1500" w:type="dxa"/>
            <w:tcBorders>
              <w:top w:val="single" w:sz="1" w:space="0" w:color="CCCCCC"/>
              <w:left w:val="single" w:sz="1" w:space="0" w:color="CCCCCC"/>
              <w:bottom w:val="single" w:sz="1" w:space="0" w:color="CCCCCC"/>
              <w:right w:val="single" w:sz="1" w:space="0" w:color="CCCCCC"/>
            </w:tcBorders>
            <w:shd w:val="clear" w:color="auto" w:fill="F5F7FA"/>
          </w:tcPr>
          <w:p w14:paraId="61936B65" w14:textId="77777777" w:rsidR="006D4392" w:rsidRPr="00AD0FF4" w:rsidRDefault="00683A75" w:rsidP="00AD0FF4">
            <w:pPr>
              <w:spacing w:after="200" w:line="360" w:lineRule="auto"/>
              <w:jc w:val="both"/>
            </w:pPr>
            <w:r w:rsidRPr="00AD0FF4">
              <w:rPr>
                <w:rFonts w:eastAsia="Times New Roman"/>
                <w:sz w:val="18"/>
                <w:szCs w:val="18"/>
              </w:rPr>
              <w:t>0.8367</w:t>
            </w:r>
          </w:p>
        </w:tc>
        <w:tc>
          <w:tcPr>
            <w:tcW w:w="1200" w:type="dxa"/>
            <w:tcBorders>
              <w:top w:val="single" w:sz="1" w:space="0" w:color="CCCCCC"/>
              <w:left w:val="single" w:sz="1" w:space="0" w:color="CCCCCC"/>
              <w:bottom w:val="single" w:sz="1" w:space="0" w:color="CCCCCC"/>
              <w:right w:val="single" w:sz="1" w:space="0" w:color="CCCCCC"/>
            </w:tcBorders>
            <w:shd w:val="clear" w:color="auto" w:fill="F5F7FA"/>
          </w:tcPr>
          <w:p w14:paraId="6F8BDCBA" w14:textId="77777777" w:rsidR="006D4392" w:rsidRPr="00AD0FF4" w:rsidRDefault="00683A75" w:rsidP="00AD0FF4">
            <w:pPr>
              <w:spacing w:after="200" w:line="360" w:lineRule="auto"/>
              <w:jc w:val="both"/>
            </w:pPr>
            <w:r w:rsidRPr="00AD0FF4">
              <w:rPr>
                <w:rFonts w:eastAsia="Times New Roman"/>
                <w:sz w:val="18"/>
                <w:szCs w:val="18"/>
              </w:rPr>
              <w:t>0.0000</w:t>
            </w:r>
          </w:p>
        </w:tc>
        <w:tc>
          <w:tcPr>
            <w:tcW w:w="900" w:type="dxa"/>
            <w:tcBorders>
              <w:top w:val="single" w:sz="1" w:space="0" w:color="CCCCCC"/>
              <w:left w:val="single" w:sz="1" w:space="0" w:color="CCCCCC"/>
              <w:bottom w:val="single" w:sz="1" w:space="0" w:color="CCCCCC"/>
              <w:right w:val="single" w:sz="1" w:space="0" w:color="CCCCCC"/>
            </w:tcBorders>
            <w:shd w:val="clear" w:color="auto" w:fill="F5F7FA"/>
          </w:tcPr>
          <w:p w14:paraId="639FC002" w14:textId="77777777" w:rsidR="006D4392" w:rsidRPr="00AD0FF4" w:rsidRDefault="00683A75" w:rsidP="00AD0FF4">
            <w:pPr>
              <w:spacing w:after="200" w:line="360" w:lineRule="auto"/>
              <w:jc w:val="both"/>
            </w:pPr>
            <w:r w:rsidRPr="00AD0FF4">
              <w:rPr>
                <w:rFonts w:eastAsia="Times New Roman"/>
                <w:sz w:val="18"/>
                <w:szCs w:val="18"/>
              </w:rPr>
              <w:t>***</w:t>
            </w:r>
          </w:p>
        </w:tc>
        <w:tc>
          <w:tcPr>
            <w:tcW w:w="1200" w:type="dxa"/>
            <w:tcBorders>
              <w:top w:val="single" w:sz="1" w:space="0" w:color="CCCCCC"/>
              <w:left w:val="single" w:sz="1" w:space="0" w:color="CCCCCC"/>
              <w:bottom w:val="single" w:sz="1" w:space="0" w:color="CCCCCC"/>
              <w:right w:val="single" w:sz="1" w:space="0" w:color="CCCCCC"/>
            </w:tcBorders>
            <w:shd w:val="clear" w:color="auto" w:fill="F5F7FA"/>
          </w:tcPr>
          <w:p w14:paraId="0295F10F" w14:textId="77777777" w:rsidR="006D4392" w:rsidRPr="00AD0FF4" w:rsidRDefault="00683A75" w:rsidP="00AD0FF4">
            <w:pPr>
              <w:spacing w:after="200" w:line="360" w:lineRule="auto"/>
              <w:jc w:val="both"/>
            </w:pPr>
            <w:r w:rsidRPr="00AD0FF4">
              <w:rPr>
                <w:rFonts w:eastAsia="Times New Roman"/>
                <w:sz w:val="18"/>
                <w:szCs w:val="18"/>
              </w:rPr>
              <w:t>0.0009</w:t>
            </w:r>
          </w:p>
        </w:tc>
        <w:tc>
          <w:tcPr>
            <w:tcW w:w="900" w:type="dxa"/>
            <w:tcBorders>
              <w:top w:val="single" w:sz="1" w:space="0" w:color="CCCCCC"/>
              <w:left w:val="single" w:sz="1" w:space="0" w:color="CCCCCC"/>
              <w:bottom w:val="single" w:sz="1" w:space="0" w:color="CCCCCC"/>
              <w:right w:val="single" w:sz="1" w:space="0" w:color="CCCCCC"/>
            </w:tcBorders>
            <w:shd w:val="clear" w:color="auto" w:fill="F5F7FA"/>
          </w:tcPr>
          <w:p w14:paraId="4D4D883E" w14:textId="77777777" w:rsidR="006D4392" w:rsidRPr="00AD0FF4" w:rsidRDefault="00683A75" w:rsidP="00AD0FF4">
            <w:pPr>
              <w:spacing w:after="200" w:line="360" w:lineRule="auto"/>
              <w:jc w:val="both"/>
            </w:pPr>
            <w:r w:rsidRPr="00AD0FF4">
              <w:rPr>
                <w:rFonts w:eastAsia="Times New Roman"/>
                <w:sz w:val="18"/>
                <w:szCs w:val="18"/>
              </w:rPr>
              <w:t>***</w:t>
            </w:r>
          </w:p>
        </w:tc>
      </w:tr>
      <w:tr w:rsidR="006D4392" w:rsidRPr="00AD0FF4" w14:paraId="46474374" w14:textId="77777777">
        <w:tc>
          <w:tcPr>
            <w:tcW w:w="3000" w:type="dxa"/>
            <w:tcBorders>
              <w:top w:val="single" w:sz="1" w:space="0" w:color="CCCCCC"/>
              <w:left w:val="single" w:sz="1" w:space="0" w:color="CCCCCC"/>
              <w:bottom w:val="single" w:sz="1" w:space="0" w:color="CCCCCC"/>
              <w:right w:val="single" w:sz="1" w:space="0" w:color="CCCCCC"/>
            </w:tcBorders>
            <w:shd w:val="clear" w:color="auto" w:fill="FFFFFF"/>
          </w:tcPr>
          <w:p w14:paraId="227AF7D3" w14:textId="77777777" w:rsidR="006D4392" w:rsidRPr="00AD0FF4" w:rsidRDefault="00683A75" w:rsidP="00AD0FF4">
            <w:pPr>
              <w:spacing w:after="200" w:line="360" w:lineRule="auto"/>
              <w:jc w:val="both"/>
            </w:pPr>
            <w:r w:rsidRPr="00AD0FF4">
              <w:rPr>
                <w:rFonts w:eastAsia="Times New Roman"/>
                <w:sz w:val="18"/>
                <w:szCs w:val="18"/>
              </w:rPr>
              <w:t>L1.ln(CA)</w:t>
            </w:r>
          </w:p>
        </w:tc>
        <w:tc>
          <w:tcPr>
            <w:tcW w:w="1500" w:type="dxa"/>
            <w:tcBorders>
              <w:top w:val="single" w:sz="1" w:space="0" w:color="CCCCCC"/>
              <w:left w:val="single" w:sz="1" w:space="0" w:color="CCCCCC"/>
              <w:bottom w:val="single" w:sz="1" w:space="0" w:color="CCCCCC"/>
              <w:right w:val="single" w:sz="1" w:space="0" w:color="CCCCCC"/>
            </w:tcBorders>
            <w:shd w:val="clear" w:color="auto" w:fill="FFFFFF"/>
          </w:tcPr>
          <w:p w14:paraId="62822208" w14:textId="77777777" w:rsidR="006D4392" w:rsidRPr="00AD0FF4" w:rsidRDefault="00683A75" w:rsidP="00AD0FF4">
            <w:pPr>
              <w:spacing w:after="200" w:line="360" w:lineRule="auto"/>
              <w:jc w:val="both"/>
            </w:pPr>
            <w:r w:rsidRPr="00AD0FF4">
              <w:rPr>
                <w:rFonts w:eastAsia="Times New Roman"/>
                <w:sz w:val="18"/>
                <w:szCs w:val="18"/>
              </w:rPr>
              <w:t>0.0104</w:t>
            </w:r>
          </w:p>
        </w:tc>
        <w:tc>
          <w:tcPr>
            <w:tcW w:w="1200" w:type="dxa"/>
            <w:tcBorders>
              <w:top w:val="single" w:sz="1" w:space="0" w:color="CCCCCC"/>
              <w:left w:val="single" w:sz="1" w:space="0" w:color="CCCCCC"/>
              <w:bottom w:val="single" w:sz="1" w:space="0" w:color="CCCCCC"/>
              <w:right w:val="single" w:sz="1" w:space="0" w:color="CCCCCC"/>
            </w:tcBorders>
            <w:shd w:val="clear" w:color="auto" w:fill="FFFFFF"/>
          </w:tcPr>
          <w:p w14:paraId="35607894" w14:textId="77777777" w:rsidR="006D4392" w:rsidRPr="00AD0FF4" w:rsidRDefault="00683A75" w:rsidP="00AD0FF4">
            <w:pPr>
              <w:spacing w:after="200" w:line="360" w:lineRule="auto"/>
              <w:jc w:val="both"/>
            </w:pPr>
            <w:r w:rsidRPr="00AD0FF4">
              <w:rPr>
                <w:rFonts w:eastAsia="Times New Roman"/>
                <w:sz w:val="18"/>
                <w:szCs w:val="18"/>
              </w:rPr>
              <w:t>0.0000</w:t>
            </w:r>
          </w:p>
        </w:tc>
        <w:tc>
          <w:tcPr>
            <w:tcW w:w="900" w:type="dxa"/>
            <w:tcBorders>
              <w:top w:val="single" w:sz="1" w:space="0" w:color="CCCCCC"/>
              <w:left w:val="single" w:sz="1" w:space="0" w:color="CCCCCC"/>
              <w:bottom w:val="single" w:sz="1" w:space="0" w:color="CCCCCC"/>
              <w:right w:val="single" w:sz="1" w:space="0" w:color="CCCCCC"/>
            </w:tcBorders>
            <w:shd w:val="clear" w:color="auto" w:fill="FFFFFF"/>
          </w:tcPr>
          <w:p w14:paraId="50FEA047" w14:textId="77777777" w:rsidR="006D4392" w:rsidRPr="00AD0FF4" w:rsidRDefault="00683A75" w:rsidP="00AD0FF4">
            <w:pPr>
              <w:spacing w:after="200" w:line="360" w:lineRule="auto"/>
              <w:jc w:val="both"/>
            </w:pPr>
            <w:r w:rsidRPr="00AD0FF4">
              <w:rPr>
                <w:rFonts w:eastAsia="Times New Roman"/>
                <w:sz w:val="18"/>
                <w:szCs w:val="18"/>
              </w:rPr>
              <w:t>***</w:t>
            </w:r>
          </w:p>
        </w:tc>
        <w:tc>
          <w:tcPr>
            <w:tcW w:w="1200" w:type="dxa"/>
            <w:tcBorders>
              <w:top w:val="single" w:sz="1" w:space="0" w:color="CCCCCC"/>
              <w:left w:val="single" w:sz="1" w:space="0" w:color="CCCCCC"/>
              <w:bottom w:val="single" w:sz="1" w:space="0" w:color="CCCCCC"/>
              <w:right w:val="single" w:sz="1" w:space="0" w:color="CCCCCC"/>
            </w:tcBorders>
            <w:shd w:val="clear" w:color="auto" w:fill="FFFFFF"/>
          </w:tcPr>
          <w:p w14:paraId="5357ADD1" w14:textId="77777777" w:rsidR="006D4392" w:rsidRPr="00AD0FF4" w:rsidRDefault="00683A75" w:rsidP="00AD0FF4">
            <w:pPr>
              <w:spacing w:after="200" w:line="360" w:lineRule="auto"/>
              <w:jc w:val="both"/>
            </w:pPr>
            <w:r w:rsidRPr="00AD0FF4">
              <w:rPr>
                <w:rFonts w:eastAsia="Times New Roman"/>
                <w:sz w:val="18"/>
                <w:szCs w:val="18"/>
              </w:rPr>
              <w:t>0.0000</w:t>
            </w:r>
          </w:p>
        </w:tc>
        <w:tc>
          <w:tcPr>
            <w:tcW w:w="900" w:type="dxa"/>
            <w:tcBorders>
              <w:top w:val="single" w:sz="1" w:space="0" w:color="CCCCCC"/>
              <w:left w:val="single" w:sz="1" w:space="0" w:color="CCCCCC"/>
              <w:bottom w:val="single" w:sz="1" w:space="0" w:color="CCCCCC"/>
              <w:right w:val="single" w:sz="1" w:space="0" w:color="CCCCCC"/>
            </w:tcBorders>
            <w:shd w:val="clear" w:color="auto" w:fill="FFFFFF"/>
          </w:tcPr>
          <w:p w14:paraId="65B40596" w14:textId="77777777" w:rsidR="006D4392" w:rsidRPr="00AD0FF4" w:rsidRDefault="00683A75" w:rsidP="00AD0FF4">
            <w:pPr>
              <w:spacing w:after="200" w:line="360" w:lineRule="auto"/>
              <w:jc w:val="both"/>
            </w:pPr>
            <w:r w:rsidRPr="00AD0FF4">
              <w:rPr>
                <w:rFonts w:eastAsia="Times New Roman"/>
                <w:sz w:val="18"/>
                <w:szCs w:val="18"/>
              </w:rPr>
              <w:t>***</w:t>
            </w:r>
          </w:p>
        </w:tc>
      </w:tr>
      <w:tr w:rsidR="006D4392" w:rsidRPr="00AD0FF4" w14:paraId="38690378" w14:textId="77777777">
        <w:tc>
          <w:tcPr>
            <w:tcW w:w="3000" w:type="dxa"/>
            <w:tcBorders>
              <w:top w:val="single" w:sz="1" w:space="0" w:color="CCCCCC"/>
              <w:left w:val="single" w:sz="1" w:space="0" w:color="CCCCCC"/>
              <w:bottom w:val="single" w:sz="1" w:space="0" w:color="CCCCCC"/>
              <w:right w:val="single" w:sz="1" w:space="0" w:color="CCCCCC"/>
            </w:tcBorders>
            <w:shd w:val="clear" w:color="auto" w:fill="F5F7FA"/>
          </w:tcPr>
          <w:p w14:paraId="36F38B90" w14:textId="77777777" w:rsidR="006D4392" w:rsidRPr="00AD0FF4" w:rsidRDefault="00683A75" w:rsidP="00AD0FF4">
            <w:pPr>
              <w:spacing w:after="200" w:line="360" w:lineRule="auto"/>
              <w:jc w:val="both"/>
            </w:pPr>
            <w:r w:rsidRPr="00AD0FF4">
              <w:rPr>
                <w:rFonts w:eastAsia="Times New Roman"/>
                <w:sz w:val="18"/>
                <w:szCs w:val="18"/>
              </w:rPr>
              <w:t>L1.ln(GR)</w:t>
            </w:r>
          </w:p>
        </w:tc>
        <w:tc>
          <w:tcPr>
            <w:tcW w:w="1500" w:type="dxa"/>
            <w:tcBorders>
              <w:top w:val="single" w:sz="1" w:space="0" w:color="CCCCCC"/>
              <w:left w:val="single" w:sz="1" w:space="0" w:color="CCCCCC"/>
              <w:bottom w:val="single" w:sz="1" w:space="0" w:color="CCCCCC"/>
              <w:right w:val="single" w:sz="1" w:space="0" w:color="CCCCCC"/>
            </w:tcBorders>
            <w:shd w:val="clear" w:color="auto" w:fill="F5F7FA"/>
          </w:tcPr>
          <w:p w14:paraId="383DE5A9" w14:textId="77777777" w:rsidR="006D4392" w:rsidRPr="00AD0FF4" w:rsidRDefault="00683A75" w:rsidP="00AD0FF4">
            <w:pPr>
              <w:spacing w:after="200" w:line="360" w:lineRule="auto"/>
              <w:jc w:val="both"/>
            </w:pPr>
            <w:r w:rsidRPr="00AD0FF4">
              <w:rPr>
                <w:rFonts w:eastAsia="Times New Roman"/>
                <w:sz w:val="18"/>
                <w:szCs w:val="18"/>
              </w:rPr>
              <w:t>0.7086</w:t>
            </w:r>
          </w:p>
        </w:tc>
        <w:tc>
          <w:tcPr>
            <w:tcW w:w="1200" w:type="dxa"/>
            <w:tcBorders>
              <w:top w:val="single" w:sz="1" w:space="0" w:color="CCCCCC"/>
              <w:left w:val="single" w:sz="1" w:space="0" w:color="CCCCCC"/>
              <w:bottom w:val="single" w:sz="1" w:space="0" w:color="CCCCCC"/>
              <w:right w:val="single" w:sz="1" w:space="0" w:color="CCCCCC"/>
            </w:tcBorders>
            <w:shd w:val="clear" w:color="auto" w:fill="F5F7FA"/>
          </w:tcPr>
          <w:p w14:paraId="39A04FC6" w14:textId="77777777" w:rsidR="006D4392" w:rsidRPr="00AD0FF4" w:rsidRDefault="00683A75" w:rsidP="00AD0FF4">
            <w:pPr>
              <w:spacing w:after="200" w:line="360" w:lineRule="auto"/>
              <w:jc w:val="both"/>
            </w:pPr>
            <w:r w:rsidRPr="00AD0FF4">
              <w:rPr>
                <w:rFonts w:eastAsia="Times New Roman"/>
                <w:sz w:val="18"/>
                <w:szCs w:val="18"/>
              </w:rPr>
              <w:t>0.0000</w:t>
            </w:r>
          </w:p>
        </w:tc>
        <w:tc>
          <w:tcPr>
            <w:tcW w:w="900" w:type="dxa"/>
            <w:tcBorders>
              <w:top w:val="single" w:sz="1" w:space="0" w:color="CCCCCC"/>
              <w:left w:val="single" w:sz="1" w:space="0" w:color="CCCCCC"/>
              <w:bottom w:val="single" w:sz="1" w:space="0" w:color="CCCCCC"/>
              <w:right w:val="single" w:sz="1" w:space="0" w:color="CCCCCC"/>
            </w:tcBorders>
            <w:shd w:val="clear" w:color="auto" w:fill="F5F7FA"/>
          </w:tcPr>
          <w:p w14:paraId="56212E6D" w14:textId="77777777" w:rsidR="006D4392" w:rsidRPr="00AD0FF4" w:rsidRDefault="00683A75" w:rsidP="00AD0FF4">
            <w:pPr>
              <w:spacing w:after="200" w:line="360" w:lineRule="auto"/>
              <w:jc w:val="both"/>
            </w:pPr>
            <w:r w:rsidRPr="00AD0FF4">
              <w:rPr>
                <w:rFonts w:eastAsia="Times New Roman"/>
                <w:sz w:val="18"/>
                <w:szCs w:val="18"/>
              </w:rPr>
              <w:t>***</w:t>
            </w:r>
          </w:p>
        </w:tc>
        <w:tc>
          <w:tcPr>
            <w:tcW w:w="1200" w:type="dxa"/>
            <w:tcBorders>
              <w:top w:val="single" w:sz="1" w:space="0" w:color="CCCCCC"/>
              <w:left w:val="single" w:sz="1" w:space="0" w:color="CCCCCC"/>
              <w:bottom w:val="single" w:sz="1" w:space="0" w:color="CCCCCC"/>
              <w:right w:val="single" w:sz="1" w:space="0" w:color="CCCCCC"/>
            </w:tcBorders>
            <w:shd w:val="clear" w:color="auto" w:fill="F5F7FA"/>
          </w:tcPr>
          <w:p w14:paraId="51FF0116" w14:textId="77777777" w:rsidR="006D4392" w:rsidRPr="00AD0FF4" w:rsidRDefault="00683A75" w:rsidP="00AD0FF4">
            <w:pPr>
              <w:spacing w:after="200" w:line="360" w:lineRule="auto"/>
              <w:jc w:val="both"/>
            </w:pPr>
            <w:r w:rsidRPr="00AD0FF4">
              <w:rPr>
                <w:rFonts w:eastAsia="Times New Roman"/>
                <w:sz w:val="18"/>
                <w:szCs w:val="18"/>
              </w:rPr>
              <w:t>0.0004</w:t>
            </w:r>
          </w:p>
        </w:tc>
        <w:tc>
          <w:tcPr>
            <w:tcW w:w="900" w:type="dxa"/>
            <w:tcBorders>
              <w:top w:val="single" w:sz="1" w:space="0" w:color="CCCCCC"/>
              <w:left w:val="single" w:sz="1" w:space="0" w:color="CCCCCC"/>
              <w:bottom w:val="single" w:sz="1" w:space="0" w:color="CCCCCC"/>
              <w:right w:val="single" w:sz="1" w:space="0" w:color="CCCCCC"/>
            </w:tcBorders>
            <w:shd w:val="clear" w:color="auto" w:fill="F5F7FA"/>
          </w:tcPr>
          <w:p w14:paraId="3ED97BA3" w14:textId="77777777" w:rsidR="006D4392" w:rsidRPr="00AD0FF4" w:rsidRDefault="00683A75" w:rsidP="00AD0FF4">
            <w:pPr>
              <w:spacing w:after="200" w:line="360" w:lineRule="auto"/>
              <w:jc w:val="both"/>
            </w:pPr>
            <w:r w:rsidRPr="00AD0FF4">
              <w:rPr>
                <w:rFonts w:eastAsia="Times New Roman"/>
                <w:sz w:val="18"/>
                <w:szCs w:val="18"/>
              </w:rPr>
              <w:t>***</w:t>
            </w:r>
          </w:p>
        </w:tc>
      </w:tr>
      <w:tr w:rsidR="006D4392" w:rsidRPr="00AD0FF4" w14:paraId="1F7097CB" w14:textId="77777777">
        <w:tc>
          <w:tcPr>
            <w:tcW w:w="3000" w:type="dxa"/>
            <w:tcBorders>
              <w:top w:val="single" w:sz="1" w:space="0" w:color="CCCCCC"/>
              <w:left w:val="single" w:sz="1" w:space="0" w:color="CCCCCC"/>
              <w:bottom w:val="single" w:sz="1" w:space="0" w:color="CCCCCC"/>
              <w:right w:val="single" w:sz="1" w:space="0" w:color="CCCCCC"/>
            </w:tcBorders>
            <w:shd w:val="clear" w:color="auto" w:fill="FFFFFF"/>
          </w:tcPr>
          <w:p w14:paraId="2FB6D19C" w14:textId="77777777" w:rsidR="006D4392" w:rsidRPr="00AD0FF4" w:rsidRDefault="00683A75" w:rsidP="00AD0FF4">
            <w:pPr>
              <w:spacing w:after="200" w:line="360" w:lineRule="auto"/>
              <w:jc w:val="both"/>
            </w:pPr>
            <w:r w:rsidRPr="00AD0FF4">
              <w:rPr>
                <w:rFonts w:eastAsia="Times New Roman"/>
                <w:sz w:val="18"/>
                <w:szCs w:val="18"/>
              </w:rPr>
              <w:t>L1.ln(Open)</w:t>
            </w:r>
          </w:p>
        </w:tc>
        <w:tc>
          <w:tcPr>
            <w:tcW w:w="1500" w:type="dxa"/>
            <w:tcBorders>
              <w:top w:val="single" w:sz="1" w:space="0" w:color="CCCCCC"/>
              <w:left w:val="single" w:sz="1" w:space="0" w:color="CCCCCC"/>
              <w:bottom w:val="single" w:sz="1" w:space="0" w:color="CCCCCC"/>
              <w:right w:val="single" w:sz="1" w:space="0" w:color="CCCCCC"/>
            </w:tcBorders>
            <w:shd w:val="clear" w:color="auto" w:fill="FFFFFF"/>
          </w:tcPr>
          <w:p w14:paraId="13941E4C" w14:textId="77777777" w:rsidR="006D4392" w:rsidRPr="00AD0FF4" w:rsidRDefault="00683A75" w:rsidP="00AD0FF4">
            <w:pPr>
              <w:spacing w:after="200" w:line="360" w:lineRule="auto"/>
              <w:jc w:val="both"/>
            </w:pPr>
            <w:r w:rsidRPr="00AD0FF4">
              <w:rPr>
                <w:rFonts w:eastAsia="Times New Roman"/>
                <w:sz w:val="18"/>
                <w:szCs w:val="18"/>
              </w:rPr>
              <w:t>0.0425</w:t>
            </w:r>
          </w:p>
        </w:tc>
        <w:tc>
          <w:tcPr>
            <w:tcW w:w="1200" w:type="dxa"/>
            <w:tcBorders>
              <w:top w:val="single" w:sz="1" w:space="0" w:color="CCCCCC"/>
              <w:left w:val="single" w:sz="1" w:space="0" w:color="CCCCCC"/>
              <w:bottom w:val="single" w:sz="1" w:space="0" w:color="CCCCCC"/>
              <w:right w:val="single" w:sz="1" w:space="0" w:color="CCCCCC"/>
            </w:tcBorders>
            <w:shd w:val="clear" w:color="auto" w:fill="FFFFFF"/>
          </w:tcPr>
          <w:p w14:paraId="345B0E2B" w14:textId="77777777" w:rsidR="006D4392" w:rsidRPr="00AD0FF4" w:rsidRDefault="00683A75" w:rsidP="00AD0FF4">
            <w:pPr>
              <w:spacing w:after="200" w:line="360" w:lineRule="auto"/>
              <w:jc w:val="both"/>
            </w:pPr>
            <w:r w:rsidRPr="00AD0FF4">
              <w:rPr>
                <w:rFonts w:eastAsia="Times New Roman"/>
                <w:sz w:val="18"/>
                <w:szCs w:val="18"/>
              </w:rPr>
              <w:t>0.0000</w:t>
            </w:r>
          </w:p>
        </w:tc>
        <w:tc>
          <w:tcPr>
            <w:tcW w:w="900" w:type="dxa"/>
            <w:tcBorders>
              <w:top w:val="single" w:sz="1" w:space="0" w:color="CCCCCC"/>
              <w:left w:val="single" w:sz="1" w:space="0" w:color="CCCCCC"/>
              <w:bottom w:val="single" w:sz="1" w:space="0" w:color="CCCCCC"/>
              <w:right w:val="single" w:sz="1" w:space="0" w:color="CCCCCC"/>
            </w:tcBorders>
            <w:shd w:val="clear" w:color="auto" w:fill="FFFFFF"/>
          </w:tcPr>
          <w:p w14:paraId="243B692E" w14:textId="77777777" w:rsidR="006D4392" w:rsidRPr="00AD0FF4" w:rsidRDefault="00683A75" w:rsidP="00AD0FF4">
            <w:pPr>
              <w:spacing w:after="200" w:line="360" w:lineRule="auto"/>
              <w:jc w:val="both"/>
            </w:pPr>
            <w:r w:rsidRPr="00AD0FF4">
              <w:rPr>
                <w:rFonts w:eastAsia="Times New Roman"/>
                <w:sz w:val="18"/>
                <w:szCs w:val="18"/>
              </w:rPr>
              <w:t>***</w:t>
            </w:r>
          </w:p>
        </w:tc>
        <w:tc>
          <w:tcPr>
            <w:tcW w:w="1200" w:type="dxa"/>
            <w:tcBorders>
              <w:top w:val="single" w:sz="1" w:space="0" w:color="CCCCCC"/>
              <w:left w:val="single" w:sz="1" w:space="0" w:color="CCCCCC"/>
              <w:bottom w:val="single" w:sz="1" w:space="0" w:color="CCCCCC"/>
              <w:right w:val="single" w:sz="1" w:space="0" w:color="CCCCCC"/>
            </w:tcBorders>
            <w:shd w:val="clear" w:color="auto" w:fill="FFFFFF"/>
          </w:tcPr>
          <w:p w14:paraId="163ED039" w14:textId="77777777" w:rsidR="006D4392" w:rsidRPr="00AD0FF4" w:rsidRDefault="00683A75" w:rsidP="00AD0FF4">
            <w:pPr>
              <w:spacing w:after="200" w:line="360" w:lineRule="auto"/>
              <w:jc w:val="both"/>
            </w:pPr>
            <w:r w:rsidRPr="00AD0FF4">
              <w:rPr>
                <w:rFonts w:eastAsia="Times New Roman"/>
                <w:sz w:val="18"/>
                <w:szCs w:val="18"/>
              </w:rPr>
              <w:t>0.0000</w:t>
            </w:r>
          </w:p>
        </w:tc>
        <w:tc>
          <w:tcPr>
            <w:tcW w:w="900" w:type="dxa"/>
            <w:tcBorders>
              <w:top w:val="single" w:sz="1" w:space="0" w:color="CCCCCC"/>
              <w:left w:val="single" w:sz="1" w:space="0" w:color="CCCCCC"/>
              <w:bottom w:val="single" w:sz="1" w:space="0" w:color="CCCCCC"/>
              <w:right w:val="single" w:sz="1" w:space="0" w:color="CCCCCC"/>
            </w:tcBorders>
            <w:shd w:val="clear" w:color="auto" w:fill="FFFFFF"/>
          </w:tcPr>
          <w:p w14:paraId="02C6CB44" w14:textId="77777777" w:rsidR="006D4392" w:rsidRPr="00AD0FF4" w:rsidRDefault="00683A75" w:rsidP="00AD0FF4">
            <w:pPr>
              <w:spacing w:after="200" w:line="360" w:lineRule="auto"/>
              <w:jc w:val="both"/>
            </w:pPr>
            <w:r w:rsidRPr="00AD0FF4">
              <w:rPr>
                <w:rFonts w:eastAsia="Times New Roman"/>
                <w:sz w:val="18"/>
                <w:szCs w:val="18"/>
              </w:rPr>
              <w:t>***</w:t>
            </w:r>
          </w:p>
        </w:tc>
      </w:tr>
      <w:tr w:rsidR="006D4392" w:rsidRPr="00AD0FF4" w14:paraId="66DC5225" w14:textId="77777777">
        <w:tc>
          <w:tcPr>
            <w:tcW w:w="3000" w:type="dxa"/>
            <w:tcBorders>
              <w:top w:val="single" w:sz="1" w:space="0" w:color="CCCCCC"/>
              <w:left w:val="single" w:sz="1" w:space="0" w:color="CCCCCC"/>
              <w:bottom w:val="single" w:sz="1" w:space="0" w:color="CCCCCC"/>
              <w:right w:val="single" w:sz="1" w:space="0" w:color="CCCCCC"/>
            </w:tcBorders>
            <w:shd w:val="clear" w:color="auto" w:fill="F5F7FA"/>
          </w:tcPr>
          <w:p w14:paraId="3D7C010B" w14:textId="77777777" w:rsidR="006D4392" w:rsidRPr="00AD0FF4" w:rsidRDefault="00683A75" w:rsidP="00AD0FF4">
            <w:pPr>
              <w:spacing w:after="200" w:line="360" w:lineRule="auto"/>
              <w:jc w:val="both"/>
            </w:pPr>
            <w:r w:rsidRPr="00AD0FF4">
              <w:rPr>
                <w:rFonts w:eastAsia="Times New Roman"/>
                <w:sz w:val="18"/>
                <w:szCs w:val="18"/>
              </w:rPr>
              <w:t>D1992</w:t>
            </w:r>
          </w:p>
        </w:tc>
        <w:tc>
          <w:tcPr>
            <w:tcW w:w="1500" w:type="dxa"/>
            <w:tcBorders>
              <w:top w:val="single" w:sz="1" w:space="0" w:color="CCCCCC"/>
              <w:left w:val="single" w:sz="1" w:space="0" w:color="CCCCCC"/>
              <w:bottom w:val="single" w:sz="1" w:space="0" w:color="CCCCCC"/>
              <w:right w:val="single" w:sz="1" w:space="0" w:color="CCCCCC"/>
            </w:tcBorders>
            <w:shd w:val="clear" w:color="auto" w:fill="F5F7FA"/>
          </w:tcPr>
          <w:p w14:paraId="5940D99D" w14:textId="77777777" w:rsidR="006D4392" w:rsidRPr="00AD0FF4" w:rsidRDefault="00683A75" w:rsidP="00AD0FF4">
            <w:pPr>
              <w:spacing w:after="200" w:line="360" w:lineRule="auto"/>
              <w:jc w:val="both"/>
            </w:pPr>
            <w:r w:rsidRPr="00AD0FF4">
              <w:rPr>
                <w:rFonts w:eastAsia="Times New Roman"/>
                <w:sz w:val="18"/>
                <w:szCs w:val="18"/>
              </w:rPr>
              <w:t>−0.2630</w:t>
            </w:r>
          </w:p>
        </w:tc>
        <w:tc>
          <w:tcPr>
            <w:tcW w:w="1200" w:type="dxa"/>
            <w:tcBorders>
              <w:top w:val="single" w:sz="1" w:space="0" w:color="CCCCCC"/>
              <w:left w:val="single" w:sz="1" w:space="0" w:color="CCCCCC"/>
              <w:bottom w:val="single" w:sz="1" w:space="0" w:color="CCCCCC"/>
              <w:right w:val="single" w:sz="1" w:space="0" w:color="CCCCCC"/>
            </w:tcBorders>
            <w:shd w:val="clear" w:color="auto" w:fill="F5F7FA"/>
          </w:tcPr>
          <w:p w14:paraId="27E934FA" w14:textId="77777777" w:rsidR="006D4392" w:rsidRPr="00AD0FF4" w:rsidRDefault="00683A75" w:rsidP="00AD0FF4">
            <w:pPr>
              <w:spacing w:after="200" w:line="360" w:lineRule="auto"/>
              <w:jc w:val="both"/>
            </w:pPr>
            <w:r w:rsidRPr="00AD0FF4">
              <w:rPr>
                <w:rFonts w:eastAsia="Times New Roman"/>
                <w:sz w:val="18"/>
                <w:szCs w:val="18"/>
              </w:rPr>
              <w:t>0.1428</w:t>
            </w:r>
          </w:p>
        </w:tc>
        <w:tc>
          <w:tcPr>
            <w:tcW w:w="900" w:type="dxa"/>
            <w:tcBorders>
              <w:top w:val="single" w:sz="1" w:space="0" w:color="CCCCCC"/>
              <w:left w:val="single" w:sz="1" w:space="0" w:color="CCCCCC"/>
              <w:bottom w:val="single" w:sz="1" w:space="0" w:color="CCCCCC"/>
              <w:right w:val="single" w:sz="1" w:space="0" w:color="CCCCCC"/>
            </w:tcBorders>
            <w:shd w:val="clear" w:color="auto" w:fill="F5F7FA"/>
          </w:tcPr>
          <w:p w14:paraId="38A22599" w14:textId="77777777" w:rsidR="006D4392" w:rsidRPr="00AD0FF4" w:rsidRDefault="00683A75" w:rsidP="00AD0FF4">
            <w:pPr>
              <w:spacing w:after="200" w:line="360" w:lineRule="auto"/>
              <w:jc w:val="both"/>
            </w:pPr>
            <w:r w:rsidRPr="00AD0FF4">
              <w:rPr>
                <w:rFonts w:eastAsia="Times New Roman"/>
                <w:sz w:val="18"/>
                <w:szCs w:val="18"/>
              </w:rPr>
              <w:t>*</w:t>
            </w:r>
          </w:p>
        </w:tc>
        <w:tc>
          <w:tcPr>
            <w:tcW w:w="1200" w:type="dxa"/>
            <w:tcBorders>
              <w:top w:val="single" w:sz="1" w:space="0" w:color="CCCCCC"/>
              <w:left w:val="single" w:sz="1" w:space="0" w:color="CCCCCC"/>
              <w:bottom w:val="single" w:sz="1" w:space="0" w:color="CCCCCC"/>
              <w:right w:val="single" w:sz="1" w:space="0" w:color="CCCCCC"/>
            </w:tcBorders>
            <w:shd w:val="clear" w:color="auto" w:fill="F5F7FA"/>
          </w:tcPr>
          <w:p w14:paraId="3F894310" w14:textId="77777777" w:rsidR="006D4392" w:rsidRPr="00AD0FF4" w:rsidRDefault="00683A75" w:rsidP="00AD0FF4">
            <w:pPr>
              <w:spacing w:after="200" w:line="360" w:lineRule="auto"/>
              <w:jc w:val="both"/>
            </w:pPr>
            <w:r w:rsidRPr="00AD0FF4">
              <w:rPr>
                <w:rFonts w:eastAsia="Times New Roman"/>
                <w:sz w:val="18"/>
                <w:szCs w:val="18"/>
              </w:rPr>
              <w:t>0.0862</w:t>
            </w:r>
          </w:p>
        </w:tc>
        <w:tc>
          <w:tcPr>
            <w:tcW w:w="900" w:type="dxa"/>
            <w:tcBorders>
              <w:top w:val="single" w:sz="1" w:space="0" w:color="CCCCCC"/>
              <w:left w:val="single" w:sz="1" w:space="0" w:color="CCCCCC"/>
              <w:bottom w:val="single" w:sz="1" w:space="0" w:color="CCCCCC"/>
              <w:right w:val="single" w:sz="1" w:space="0" w:color="CCCCCC"/>
            </w:tcBorders>
            <w:shd w:val="clear" w:color="auto" w:fill="F5F7FA"/>
          </w:tcPr>
          <w:p w14:paraId="0FDE868C" w14:textId="77777777" w:rsidR="006D4392" w:rsidRPr="00AD0FF4" w:rsidRDefault="00683A75" w:rsidP="00AD0FF4">
            <w:pPr>
              <w:spacing w:after="200" w:line="360" w:lineRule="auto"/>
              <w:jc w:val="both"/>
            </w:pPr>
            <w:r w:rsidRPr="00AD0FF4">
              <w:rPr>
                <w:rFonts w:eastAsia="Times New Roman"/>
                <w:sz w:val="18"/>
                <w:szCs w:val="18"/>
              </w:rPr>
              <w:t>***</w:t>
            </w:r>
          </w:p>
        </w:tc>
      </w:tr>
      <w:tr w:rsidR="006D4392" w:rsidRPr="00AD0FF4" w14:paraId="5B2E6CEB" w14:textId="77777777">
        <w:tc>
          <w:tcPr>
            <w:tcW w:w="3000" w:type="dxa"/>
            <w:tcBorders>
              <w:top w:val="single" w:sz="1" w:space="0" w:color="CCCCCC"/>
              <w:left w:val="single" w:sz="1" w:space="0" w:color="CCCCCC"/>
              <w:bottom w:val="single" w:sz="1" w:space="0" w:color="CCCCCC"/>
              <w:right w:val="single" w:sz="1" w:space="0" w:color="CCCCCC"/>
            </w:tcBorders>
            <w:shd w:val="clear" w:color="auto" w:fill="FFFFFF"/>
          </w:tcPr>
          <w:p w14:paraId="2D483281" w14:textId="77777777" w:rsidR="006D4392" w:rsidRPr="00AD0FF4" w:rsidRDefault="00683A75" w:rsidP="00AD0FF4">
            <w:pPr>
              <w:spacing w:after="200" w:line="360" w:lineRule="auto"/>
              <w:jc w:val="both"/>
            </w:pPr>
            <w:r w:rsidRPr="00AD0FF4">
              <w:rPr>
                <w:rFonts w:eastAsia="Times New Roman"/>
                <w:sz w:val="18"/>
                <w:szCs w:val="18"/>
              </w:rPr>
              <w:t>D2013</w:t>
            </w:r>
          </w:p>
        </w:tc>
        <w:tc>
          <w:tcPr>
            <w:tcW w:w="1500" w:type="dxa"/>
            <w:tcBorders>
              <w:top w:val="single" w:sz="1" w:space="0" w:color="CCCCCC"/>
              <w:left w:val="single" w:sz="1" w:space="0" w:color="CCCCCC"/>
              <w:bottom w:val="single" w:sz="1" w:space="0" w:color="CCCCCC"/>
              <w:right w:val="single" w:sz="1" w:space="0" w:color="CCCCCC"/>
            </w:tcBorders>
            <w:shd w:val="clear" w:color="auto" w:fill="FFFFFF"/>
          </w:tcPr>
          <w:p w14:paraId="45C64944" w14:textId="77777777" w:rsidR="006D4392" w:rsidRPr="00AD0FF4" w:rsidRDefault="00683A75" w:rsidP="00AD0FF4">
            <w:pPr>
              <w:spacing w:after="200" w:line="360" w:lineRule="auto"/>
              <w:jc w:val="both"/>
            </w:pPr>
            <w:r w:rsidRPr="00AD0FF4">
              <w:rPr>
                <w:rFonts w:eastAsia="Times New Roman"/>
                <w:sz w:val="18"/>
                <w:szCs w:val="18"/>
              </w:rPr>
              <w:t>0.7686</w:t>
            </w:r>
          </w:p>
        </w:tc>
        <w:tc>
          <w:tcPr>
            <w:tcW w:w="1200" w:type="dxa"/>
            <w:tcBorders>
              <w:top w:val="single" w:sz="1" w:space="0" w:color="CCCCCC"/>
              <w:left w:val="single" w:sz="1" w:space="0" w:color="CCCCCC"/>
              <w:bottom w:val="single" w:sz="1" w:space="0" w:color="CCCCCC"/>
              <w:right w:val="single" w:sz="1" w:space="0" w:color="CCCCCC"/>
            </w:tcBorders>
            <w:shd w:val="clear" w:color="auto" w:fill="FFFFFF"/>
          </w:tcPr>
          <w:p w14:paraId="62F59DB4" w14:textId="77777777" w:rsidR="006D4392" w:rsidRPr="00AD0FF4" w:rsidRDefault="00683A75" w:rsidP="00AD0FF4">
            <w:pPr>
              <w:spacing w:after="200" w:line="360" w:lineRule="auto"/>
              <w:jc w:val="both"/>
            </w:pPr>
            <w:r w:rsidRPr="00AD0FF4">
              <w:rPr>
                <w:rFonts w:eastAsia="Times New Roman"/>
                <w:sz w:val="18"/>
                <w:szCs w:val="18"/>
              </w:rPr>
              <w:t>0.2398</w:t>
            </w:r>
          </w:p>
        </w:tc>
        <w:tc>
          <w:tcPr>
            <w:tcW w:w="900" w:type="dxa"/>
            <w:tcBorders>
              <w:top w:val="single" w:sz="1" w:space="0" w:color="CCCCCC"/>
              <w:left w:val="single" w:sz="1" w:space="0" w:color="CCCCCC"/>
              <w:bottom w:val="single" w:sz="1" w:space="0" w:color="CCCCCC"/>
              <w:right w:val="single" w:sz="1" w:space="0" w:color="CCCCCC"/>
            </w:tcBorders>
            <w:shd w:val="clear" w:color="auto" w:fill="FFFFFF"/>
          </w:tcPr>
          <w:p w14:paraId="03AFE0BB" w14:textId="77777777" w:rsidR="006D4392" w:rsidRPr="00AD0FF4" w:rsidRDefault="00683A75" w:rsidP="00AD0FF4">
            <w:pPr>
              <w:spacing w:after="200" w:line="360" w:lineRule="auto"/>
              <w:jc w:val="both"/>
            </w:pPr>
            <w:r w:rsidRPr="00AD0FF4">
              <w:rPr>
                <w:rFonts w:eastAsia="Times New Roman"/>
                <w:sz w:val="18"/>
                <w:szCs w:val="18"/>
              </w:rPr>
              <w:t>***</w:t>
            </w:r>
          </w:p>
        </w:tc>
        <w:tc>
          <w:tcPr>
            <w:tcW w:w="1200" w:type="dxa"/>
            <w:tcBorders>
              <w:top w:val="single" w:sz="1" w:space="0" w:color="CCCCCC"/>
              <w:left w:val="single" w:sz="1" w:space="0" w:color="CCCCCC"/>
              <w:bottom w:val="single" w:sz="1" w:space="0" w:color="CCCCCC"/>
              <w:right w:val="single" w:sz="1" w:space="0" w:color="CCCCCC"/>
            </w:tcBorders>
            <w:shd w:val="clear" w:color="auto" w:fill="FFFFFF"/>
          </w:tcPr>
          <w:p w14:paraId="0D4D0D59" w14:textId="77777777" w:rsidR="006D4392" w:rsidRPr="00AD0FF4" w:rsidRDefault="00683A75" w:rsidP="00AD0FF4">
            <w:pPr>
              <w:spacing w:after="200" w:line="360" w:lineRule="auto"/>
              <w:jc w:val="both"/>
            </w:pPr>
            <w:r w:rsidRPr="00AD0FF4">
              <w:rPr>
                <w:rFonts w:eastAsia="Times New Roman"/>
                <w:sz w:val="18"/>
                <w:szCs w:val="18"/>
              </w:rPr>
              <w:t>0.1378</w:t>
            </w:r>
          </w:p>
        </w:tc>
        <w:tc>
          <w:tcPr>
            <w:tcW w:w="900" w:type="dxa"/>
            <w:tcBorders>
              <w:top w:val="single" w:sz="1" w:space="0" w:color="CCCCCC"/>
              <w:left w:val="single" w:sz="1" w:space="0" w:color="CCCCCC"/>
              <w:bottom w:val="single" w:sz="1" w:space="0" w:color="CCCCCC"/>
              <w:right w:val="single" w:sz="1" w:space="0" w:color="CCCCCC"/>
            </w:tcBorders>
            <w:shd w:val="clear" w:color="auto" w:fill="FFFFFF"/>
          </w:tcPr>
          <w:p w14:paraId="6005D7A3" w14:textId="77777777" w:rsidR="006D4392" w:rsidRPr="00AD0FF4" w:rsidRDefault="00683A75" w:rsidP="00AD0FF4">
            <w:pPr>
              <w:spacing w:after="200" w:line="360" w:lineRule="auto"/>
              <w:jc w:val="both"/>
            </w:pPr>
            <w:r w:rsidRPr="00AD0FF4">
              <w:rPr>
                <w:rFonts w:eastAsia="Times New Roman"/>
                <w:sz w:val="18"/>
                <w:szCs w:val="18"/>
              </w:rPr>
              <w:t>***</w:t>
            </w:r>
          </w:p>
        </w:tc>
      </w:tr>
      <w:tr w:rsidR="006D4392" w:rsidRPr="00AD0FF4" w14:paraId="6DE17C67" w14:textId="77777777">
        <w:tc>
          <w:tcPr>
            <w:tcW w:w="3000" w:type="dxa"/>
            <w:tcBorders>
              <w:top w:val="single" w:sz="1" w:space="0" w:color="CCCCCC"/>
              <w:left w:val="single" w:sz="1" w:space="0" w:color="CCCCCC"/>
              <w:bottom w:val="single" w:sz="1" w:space="0" w:color="CCCCCC"/>
              <w:right w:val="single" w:sz="1" w:space="0" w:color="CCCCCC"/>
            </w:tcBorders>
            <w:shd w:val="clear" w:color="auto" w:fill="F5F7FA"/>
          </w:tcPr>
          <w:p w14:paraId="1F155202" w14:textId="77777777" w:rsidR="006D4392" w:rsidRPr="00AD0FF4" w:rsidRDefault="00683A75" w:rsidP="00AD0FF4">
            <w:pPr>
              <w:spacing w:after="200" w:line="360" w:lineRule="auto"/>
              <w:jc w:val="both"/>
            </w:pPr>
            <w:r w:rsidRPr="00AD0FF4">
              <w:rPr>
                <w:rFonts w:eastAsia="Times New Roman"/>
                <w:sz w:val="18"/>
                <w:szCs w:val="18"/>
              </w:rPr>
              <w:t>D1992 × CA</w:t>
            </w:r>
          </w:p>
        </w:tc>
        <w:tc>
          <w:tcPr>
            <w:tcW w:w="1500" w:type="dxa"/>
            <w:tcBorders>
              <w:top w:val="single" w:sz="1" w:space="0" w:color="CCCCCC"/>
              <w:left w:val="single" w:sz="1" w:space="0" w:color="CCCCCC"/>
              <w:bottom w:val="single" w:sz="1" w:space="0" w:color="CCCCCC"/>
              <w:right w:val="single" w:sz="1" w:space="0" w:color="CCCCCC"/>
            </w:tcBorders>
            <w:shd w:val="clear" w:color="auto" w:fill="F5F7FA"/>
          </w:tcPr>
          <w:p w14:paraId="0FF7DA04" w14:textId="77777777" w:rsidR="006D4392" w:rsidRPr="00AD0FF4" w:rsidRDefault="00683A75" w:rsidP="00AD0FF4">
            <w:pPr>
              <w:spacing w:after="200" w:line="360" w:lineRule="auto"/>
              <w:jc w:val="both"/>
            </w:pPr>
            <w:r w:rsidRPr="00AD0FF4">
              <w:rPr>
                <w:rFonts w:eastAsia="Times New Roman"/>
                <w:sz w:val="18"/>
                <w:szCs w:val="18"/>
              </w:rPr>
              <w:t>−0.0050</w:t>
            </w:r>
          </w:p>
        </w:tc>
        <w:tc>
          <w:tcPr>
            <w:tcW w:w="1200" w:type="dxa"/>
            <w:tcBorders>
              <w:top w:val="single" w:sz="1" w:space="0" w:color="CCCCCC"/>
              <w:left w:val="single" w:sz="1" w:space="0" w:color="CCCCCC"/>
              <w:bottom w:val="single" w:sz="1" w:space="0" w:color="CCCCCC"/>
              <w:right w:val="single" w:sz="1" w:space="0" w:color="CCCCCC"/>
            </w:tcBorders>
            <w:shd w:val="clear" w:color="auto" w:fill="F5F7FA"/>
          </w:tcPr>
          <w:p w14:paraId="32738347" w14:textId="77777777" w:rsidR="006D4392" w:rsidRPr="00AD0FF4" w:rsidRDefault="00683A75" w:rsidP="00AD0FF4">
            <w:pPr>
              <w:spacing w:after="200" w:line="360" w:lineRule="auto"/>
              <w:jc w:val="both"/>
            </w:pPr>
            <w:r w:rsidRPr="00AD0FF4">
              <w:rPr>
                <w:rFonts w:eastAsia="Times New Roman"/>
                <w:sz w:val="18"/>
                <w:szCs w:val="18"/>
              </w:rPr>
              <w:t>0.0055</w:t>
            </w:r>
          </w:p>
        </w:tc>
        <w:tc>
          <w:tcPr>
            <w:tcW w:w="900" w:type="dxa"/>
            <w:tcBorders>
              <w:top w:val="single" w:sz="1" w:space="0" w:color="CCCCCC"/>
              <w:left w:val="single" w:sz="1" w:space="0" w:color="CCCCCC"/>
              <w:bottom w:val="single" w:sz="1" w:space="0" w:color="CCCCCC"/>
              <w:right w:val="single" w:sz="1" w:space="0" w:color="CCCCCC"/>
            </w:tcBorders>
            <w:shd w:val="clear" w:color="auto" w:fill="F5F7FA"/>
          </w:tcPr>
          <w:p w14:paraId="147FFAA3" w14:textId="77777777" w:rsidR="006D4392" w:rsidRPr="00AD0FF4" w:rsidRDefault="00683A75" w:rsidP="00AD0FF4">
            <w:pPr>
              <w:spacing w:after="200" w:line="360" w:lineRule="auto"/>
              <w:jc w:val="both"/>
            </w:pPr>
            <w:r w:rsidRPr="00AD0FF4">
              <w:rPr>
                <w:rFonts w:eastAsia="Times New Roman"/>
                <w:sz w:val="18"/>
                <w:szCs w:val="18"/>
              </w:rPr>
              <w:t>n.s.</w:t>
            </w:r>
          </w:p>
        </w:tc>
        <w:tc>
          <w:tcPr>
            <w:tcW w:w="1200" w:type="dxa"/>
            <w:tcBorders>
              <w:top w:val="single" w:sz="1" w:space="0" w:color="CCCCCC"/>
              <w:left w:val="single" w:sz="1" w:space="0" w:color="CCCCCC"/>
              <w:bottom w:val="single" w:sz="1" w:space="0" w:color="CCCCCC"/>
              <w:right w:val="single" w:sz="1" w:space="0" w:color="CCCCCC"/>
            </w:tcBorders>
            <w:shd w:val="clear" w:color="auto" w:fill="F5F7FA"/>
          </w:tcPr>
          <w:p w14:paraId="0CBEE967" w14:textId="77777777" w:rsidR="006D4392" w:rsidRPr="00AD0FF4" w:rsidRDefault="00683A75" w:rsidP="00AD0FF4">
            <w:pPr>
              <w:spacing w:after="200" w:line="360" w:lineRule="auto"/>
              <w:jc w:val="both"/>
            </w:pPr>
            <w:r w:rsidRPr="00AD0FF4">
              <w:rPr>
                <w:rFonts w:eastAsia="Times New Roman"/>
                <w:sz w:val="18"/>
                <w:szCs w:val="18"/>
              </w:rPr>
              <w:t>0.0045</w:t>
            </w:r>
          </w:p>
        </w:tc>
        <w:tc>
          <w:tcPr>
            <w:tcW w:w="900" w:type="dxa"/>
            <w:tcBorders>
              <w:top w:val="single" w:sz="1" w:space="0" w:color="CCCCCC"/>
              <w:left w:val="single" w:sz="1" w:space="0" w:color="CCCCCC"/>
              <w:bottom w:val="single" w:sz="1" w:space="0" w:color="CCCCCC"/>
              <w:right w:val="single" w:sz="1" w:space="0" w:color="CCCCCC"/>
            </w:tcBorders>
            <w:shd w:val="clear" w:color="auto" w:fill="F5F7FA"/>
          </w:tcPr>
          <w:p w14:paraId="130CD203" w14:textId="77777777" w:rsidR="006D4392" w:rsidRPr="00AD0FF4" w:rsidRDefault="00683A75" w:rsidP="00AD0FF4">
            <w:pPr>
              <w:spacing w:after="200" w:line="360" w:lineRule="auto"/>
              <w:jc w:val="both"/>
            </w:pPr>
            <w:r w:rsidRPr="00AD0FF4">
              <w:rPr>
                <w:rFonts w:eastAsia="Times New Roman"/>
                <w:sz w:val="18"/>
                <w:szCs w:val="18"/>
              </w:rPr>
              <w:t>n.s.</w:t>
            </w:r>
          </w:p>
        </w:tc>
      </w:tr>
      <w:tr w:rsidR="006D4392" w:rsidRPr="00AD0FF4" w14:paraId="4E4509B9" w14:textId="77777777">
        <w:tc>
          <w:tcPr>
            <w:tcW w:w="3000" w:type="dxa"/>
            <w:tcBorders>
              <w:top w:val="single" w:sz="1" w:space="0" w:color="CCCCCC"/>
              <w:left w:val="single" w:sz="1" w:space="0" w:color="CCCCCC"/>
              <w:bottom w:val="single" w:sz="1" w:space="0" w:color="CCCCCC"/>
              <w:right w:val="single" w:sz="1" w:space="0" w:color="CCCCCC"/>
            </w:tcBorders>
            <w:shd w:val="clear" w:color="auto" w:fill="FFFFFF"/>
          </w:tcPr>
          <w:p w14:paraId="7E6E67E9" w14:textId="77777777" w:rsidR="006D4392" w:rsidRPr="00AD0FF4" w:rsidRDefault="00683A75" w:rsidP="00AD0FF4">
            <w:pPr>
              <w:spacing w:after="200" w:line="360" w:lineRule="auto"/>
              <w:jc w:val="both"/>
            </w:pPr>
            <w:r w:rsidRPr="00AD0FF4">
              <w:rPr>
                <w:rFonts w:eastAsia="Times New Roman"/>
                <w:sz w:val="18"/>
                <w:szCs w:val="18"/>
              </w:rPr>
              <w:t>D2013 × CA</w:t>
            </w:r>
          </w:p>
        </w:tc>
        <w:tc>
          <w:tcPr>
            <w:tcW w:w="1500" w:type="dxa"/>
            <w:tcBorders>
              <w:top w:val="single" w:sz="1" w:space="0" w:color="CCCCCC"/>
              <w:left w:val="single" w:sz="1" w:space="0" w:color="CCCCCC"/>
              <w:bottom w:val="single" w:sz="1" w:space="0" w:color="CCCCCC"/>
              <w:right w:val="single" w:sz="1" w:space="0" w:color="CCCCCC"/>
            </w:tcBorders>
            <w:shd w:val="clear" w:color="auto" w:fill="FFFFFF"/>
          </w:tcPr>
          <w:p w14:paraId="6C955672" w14:textId="77777777" w:rsidR="006D4392" w:rsidRPr="00AD0FF4" w:rsidRDefault="00683A75" w:rsidP="00AD0FF4">
            <w:pPr>
              <w:spacing w:after="200" w:line="360" w:lineRule="auto"/>
              <w:jc w:val="both"/>
            </w:pPr>
            <w:r w:rsidRPr="00AD0FF4">
              <w:rPr>
                <w:rFonts w:eastAsia="Times New Roman"/>
                <w:sz w:val="18"/>
                <w:szCs w:val="18"/>
              </w:rPr>
              <w:t>0.0375</w:t>
            </w:r>
          </w:p>
        </w:tc>
        <w:tc>
          <w:tcPr>
            <w:tcW w:w="1200" w:type="dxa"/>
            <w:tcBorders>
              <w:top w:val="single" w:sz="1" w:space="0" w:color="CCCCCC"/>
              <w:left w:val="single" w:sz="1" w:space="0" w:color="CCCCCC"/>
              <w:bottom w:val="single" w:sz="1" w:space="0" w:color="CCCCCC"/>
              <w:right w:val="single" w:sz="1" w:space="0" w:color="CCCCCC"/>
            </w:tcBorders>
            <w:shd w:val="clear" w:color="auto" w:fill="FFFFFF"/>
          </w:tcPr>
          <w:p w14:paraId="3822368C" w14:textId="77777777" w:rsidR="006D4392" w:rsidRPr="00AD0FF4" w:rsidRDefault="00683A75" w:rsidP="00AD0FF4">
            <w:pPr>
              <w:spacing w:after="200" w:line="360" w:lineRule="auto"/>
              <w:jc w:val="both"/>
            </w:pPr>
            <w:r w:rsidRPr="00AD0FF4">
              <w:rPr>
                <w:rFonts w:eastAsia="Times New Roman"/>
                <w:sz w:val="18"/>
                <w:szCs w:val="18"/>
              </w:rPr>
              <w:t>0.0079</w:t>
            </w:r>
          </w:p>
        </w:tc>
        <w:tc>
          <w:tcPr>
            <w:tcW w:w="900" w:type="dxa"/>
            <w:tcBorders>
              <w:top w:val="single" w:sz="1" w:space="0" w:color="CCCCCC"/>
              <w:left w:val="single" w:sz="1" w:space="0" w:color="CCCCCC"/>
              <w:bottom w:val="single" w:sz="1" w:space="0" w:color="CCCCCC"/>
              <w:right w:val="single" w:sz="1" w:space="0" w:color="CCCCCC"/>
            </w:tcBorders>
            <w:shd w:val="clear" w:color="auto" w:fill="FFFFFF"/>
          </w:tcPr>
          <w:p w14:paraId="13935854" w14:textId="77777777" w:rsidR="006D4392" w:rsidRPr="00AD0FF4" w:rsidRDefault="00683A75" w:rsidP="00AD0FF4">
            <w:pPr>
              <w:spacing w:after="200" w:line="360" w:lineRule="auto"/>
              <w:jc w:val="both"/>
            </w:pPr>
            <w:r w:rsidRPr="00AD0FF4">
              <w:rPr>
                <w:rFonts w:eastAsia="Times New Roman"/>
                <w:sz w:val="18"/>
                <w:szCs w:val="18"/>
              </w:rPr>
              <w:t>***</w:t>
            </w:r>
          </w:p>
        </w:tc>
        <w:tc>
          <w:tcPr>
            <w:tcW w:w="1200" w:type="dxa"/>
            <w:tcBorders>
              <w:top w:val="single" w:sz="1" w:space="0" w:color="CCCCCC"/>
              <w:left w:val="single" w:sz="1" w:space="0" w:color="CCCCCC"/>
              <w:bottom w:val="single" w:sz="1" w:space="0" w:color="CCCCCC"/>
              <w:right w:val="single" w:sz="1" w:space="0" w:color="CCCCCC"/>
            </w:tcBorders>
            <w:shd w:val="clear" w:color="auto" w:fill="FFFFFF"/>
          </w:tcPr>
          <w:p w14:paraId="16B03C3A" w14:textId="77777777" w:rsidR="006D4392" w:rsidRPr="00AD0FF4" w:rsidRDefault="00683A75" w:rsidP="00AD0FF4">
            <w:pPr>
              <w:spacing w:after="200" w:line="360" w:lineRule="auto"/>
              <w:jc w:val="both"/>
            </w:pPr>
            <w:r w:rsidRPr="00AD0FF4">
              <w:rPr>
                <w:rFonts w:eastAsia="Times New Roman"/>
                <w:sz w:val="18"/>
                <w:szCs w:val="18"/>
              </w:rPr>
              <w:t>0.0046</w:t>
            </w:r>
          </w:p>
        </w:tc>
        <w:tc>
          <w:tcPr>
            <w:tcW w:w="900" w:type="dxa"/>
            <w:tcBorders>
              <w:top w:val="single" w:sz="1" w:space="0" w:color="CCCCCC"/>
              <w:left w:val="single" w:sz="1" w:space="0" w:color="CCCCCC"/>
              <w:bottom w:val="single" w:sz="1" w:space="0" w:color="CCCCCC"/>
              <w:right w:val="single" w:sz="1" w:space="0" w:color="CCCCCC"/>
            </w:tcBorders>
            <w:shd w:val="clear" w:color="auto" w:fill="FFFFFF"/>
          </w:tcPr>
          <w:p w14:paraId="020328E8" w14:textId="77777777" w:rsidR="006D4392" w:rsidRPr="00AD0FF4" w:rsidRDefault="00683A75" w:rsidP="00AD0FF4">
            <w:pPr>
              <w:spacing w:after="200" w:line="360" w:lineRule="auto"/>
              <w:jc w:val="both"/>
            </w:pPr>
            <w:r w:rsidRPr="00AD0FF4">
              <w:rPr>
                <w:rFonts w:eastAsia="Times New Roman"/>
                <w:sz w:val="18"/>
                <w:szCs w:val="18"/>
              </w:rPr>
              <w:t>***</w:t>
            </w:r>
          </w:p>
        </w:tc>
      </w:tr>
      <w:tr w:rsidR="006D4392" w:rsidRPr="00AD0FF4" w14:paraId="554D305F" w14:textId="77777777">
        <w:tc>
          <w:tcPr>
            <w:tcW w:w="3000" w:type="dxa"/>
            <w:tcBorders>
              <w:top w:val="single" w:sz="1" w:space="0" w:color="CCCCCC"/>
              <w:left w:val="single" w:sz="1" w:space="0" w:color="CCCCCC"/>
              <w:bottom w:val="single" w:sz="1" w:space="0" w:color="CCCCCC"/>
              <w:right w:val="single" w:sz="1" w:space="0" w:color="CCCCCC"/>
            </w:tcBorders>
            <w:shd w:val="clear" w:color="auto" w:fill="F5F7FA"/>
          </w:tcPr>
          <w:p w14:paraId="4992D5F3" w14:textId="77777777" w:rsidR="006D4392" w:rsidRPr="00AD0FF4" w:rsidRDefault="00683A75" w:rsidP="00AD0FF4">
            <w:pPr>
              <w:spacing w:after="200" w:line="360" w:lineRule="auto"/>
              <w:jc w:val="both"/>
            </w:pPr>
            <w:r w:rsidRPr="00AD0FF4">
              <w:rPr>
                <w:rFonts w:eastAsia="Times New Roman"/>
                <w:sz w:val="18"/>
                <w:szCs w:val="18"/>
              </w:rPr>
              <w:t>D1992 × GR</w:t>
            </w:r>
          </w:p>
        </w:tc>
        <w:tc>
          <w:tcPr>
            <w:tcW w:w="1500" w:type="dxa"/>
            <w:tcBorders>
              <w:top w:val="single" w:sz="1" w:space="0" w:color="CCCCCC"/>
              <w:left w:val="single" w:sz="1" w:space="0" w:color="CCCCCC"/>
              <w:bottom w:val="single" w:sz="1" w:space="0" w:color="CCCCCC"/>
              <w:right w:val="single" w:sz="1" w:space="0" w:color="CCCCCC"/>
            </w:tcBorders>
            <w:shd w:val="clear" w:color="auto" w:fill="F5F7FA"/>
          </w:tcPr>
          <w:p w14:paraId="2126B0A8" w14:textId="77777777" w:rsidR="006D4392" w:rsidRPr="00AD0FF4" w:rsidRDefault="00683A75" w:rsidP="00AD0FF4">
            <w:pPr>
              <w:spacing w:after="200" w:line="360" w:lineRule="auto"/>
              <w:jc w:val="both"/>
            </w:pPr>
            <w:r w:rsidRPr="00AD0FF4">
              <w:rPr>
                <w:rFonts w:eastAsia="Times New Roman"/>
                <w:sz w:val="18"/>
                <w:szCs w:val="18"/>
              </w:rPr>
              <w:t>0.1142</w:t>
            </w:r>
          </w:p>
        </w:tc>
        <w:tc>
          <w:tcPr>
            <w:tcW w:w="1200" w:type="dxa"/>
            <w:tcBorders>
              <w:top w:val="single" w:sz="1" w:space="0" w:color="CCCCCC"/>
              <w:left w:val="single" w:sz="1" w:space="0" w:color="CCCCCC"/>
              <w:bottom w:val="single" w:sz="1" w:space="0" w:color="CCCCCC"/>
              <w:right w:val="single" w:sz="1" w:space="0" w:color="CCCCCC"/>
            </w:tcBorders>
            <w:shd w:val="clear" w:color="auto" w:fill="F5F7FA"/>
          </w:tcPr>
          <w:p w14:paraId="6453EDA7" w14:textId="77777777" w:rsidR="006D4392" w:rsidRPr="00AD0FF4" w:rsidRDefault="00683A75" w:rsidP="00AD0FF4">
            <w:pPr>
              <w:spacing w:after="200" w:line="360" w:lineRule="auto"/>
              <w:jc w:val="both"/>
            </w:pPr>
            <w:r w:rsidRPr="00AD0FF4">
              <w:rPr>
                <w:rFonts w:eastAsia="Times New Roman"/>
                <w:sz w:val="18"/>
                <w:szCs w:val="18"/>
              </w:rPr>
              <w:t>0.0503</w:t>
            </w:r>
          </w:p>
        </w:tc>
        <w:tc>
          <w:tcPr>
            <w:tcW w:w="900" w:type="dxa"/>
            <w:tcBorders>
              <w:top w:val="single" w:sz="1" w:space="0" w:color="CCCCCC"/>
              <w:left w:val="single" w:sz="1" w:space="0" w:color="CCCCCC"/>
              <w:bottom w:val="single" w:sz="1" w:space="0" w:color="CCCCCC"/>
              <w:right w:val="single" w:sz="1" w:space="0" w:color="CCCCCC"/>
            </w:tcBorders>
            <w:shd w:val="clear" w:color="auto" w:fill="F5F7FA"/>
          </w:tcPr>
          <w:p w14:paraId="02D10A98" w14:textId="77777777" w:rsidR="006D4392" w:rsidRPr="00AD0FF4" w:rsidRDefault="00683A75" w:rsidP="00AD0FF4">
            <w:pPr>
              <w:spacing w:after="200" w:line="360" w:lineRule="auto"/>
              <w:jc w:val="both"/>
            </w:pPr>
            <w:r w:rsidRPr="00AD0FF4">
              <w:rPr>
                <w:rFonts w:eastAsia="Times New Roman"/>
                <w:sz w:val="18"/>
                <w:szCs w:val="18"/>
              </w:rPr>
              <w:t>**</w:t>
            </w:r>
          </w:p>
        </w:tc>
        <w:tc>
          <w:tcPr>
            <w:tcW w:w="1200" w:type="dxa"/>
            <w:tcBorders>
              <w:top w:val="single" w:sz="1" w:space="0" w:color="CCCCCC"/>
              <w:left w:val="single" w:sz="1" w:space="0" w:color="CCCCCC"/>
              <w:bottom w:val="single" w:sz="1" w:space="0" w:color="CCCCCC"/>
              <w:right w:val="single" w:sz="1" w:space="0" w:color="CCCCCC"/>
            </w:tcBorders>
            <w:shd w:val="clear" w:color="auto" w:fill="F5F7FA"/>
          </w:tcPr>
          <w:p w14:paraId="2890246A" w14:textId="77777777" w:rsidR="006D4392" w:rsidRPr="00AD0FF4" w:rsidRDefault="00683A75" w:rsidP="00AD0FF4">
            <w:pPr>
              <w:spacing w:after="200" w:line="360" w:lineRule="auto"/>
              <w:jc w:val="both"/>
            </w:pPr>
            <w:r w:rsidRPr="00AD0FF4">
              <w:rPr>
                <w:rFonts w:eastAsia="Times New Roman"/>
                <w:sz w:val="18"/>
                <w:szCs w:val="18"/>
              </w:rPr>
              <w:t>0.0324</w:t>
            </w:r>
          </w:p>
        </w:tc>
        <w:tc>
          <w:tcPr>
            <w:tcW w:w="900" w:type="dxa"/>
            <w:tcBorders>
              <w:top w:val="single" w:sz="1" w:space="0" w:color="CCCCCC"/>
              <w:left w:val="single" w:sz="1" w:space="0" w:color="CCCCCC"/>
              <w:bottom w:val="single" w:sz="1" w:space="0" w:color="CCCCCC"/>
              <w:right w:val="single" w:sz="1" w:space="0" w:color="CCCCCC"/>
            </w:tcBorders>
            <w:shd w:val="clear" w:color="auto" w:fill="F5F7FA"/>
          </w:tcPr>
          <w:p w14:paraId="3CD1BD05" w14:textId="77777777" w:rsidR="006D4392" w:rsidRPr="00AD0FF4" w:rsidRDefault="00683A75" w:rsidP="00AD0FF4">
            <w:pPr>
              <w:spacing w:after="200" w:line="360" w:lineRule="auto"/>
              <w:jc w:val="both"/>
            </w:pPr>
            <w:r w:rsidRPr="00AD0FF4">
              <w:rPr>
                <w:rFonts w:eastAsia="Times New Roman"/>
                <w:sz w:val="18"/>
                <w:szCs w:val="18"/>
              </w:rPr>
              <w:t>***</w:t>
            </w:r>
          </w:p>
        </w:tc>
      </w:tr>
      <w:tr w:rsidR="006D4392" w:rsidRPr="00AD0FF4" w14:paraId="61ED6BB1" w14:textId="77777777">
        <w:tc>
          <w:tcPr>
            <w:tcW w:w="3000" w:type="dxa"/>
            <w:tcBorders>
              <w:top w:val="single" w:sz="1" w:space="0" w:color="CCCCCC"/>
              <w:left w:val="single" w:sz="1" w:space="0" w:color="CCCCCC"/>
              <w:bottom w:val="single" w:sz="1" w:space="0" w:color="CCCCCC"/>
              <w:right w:val="single" w:sz="1" w:space="0" w:color="CCCCCC"/>
            </w:tcBorders>
            <w:shd w:val="clear" w:color="auto" w:fill="FFFFFF"/>
          </w:tcPr>
          <w:p w14:paraId="0D459843" w14:textId="77777777" w:rsidR="006D4392" w:rsidRPr="00AD0FF4" w:rsidRDefault="00683A75" w:rsidP="00AD0FF4">
            <w:pPr>
              <w:spacing w:after="200" w:line="360" w:lineRule="auto"/>
              <w:jc w:val="both"/>
            </w:pPr>
            <w:r w:rsidRPr="00AD0FF4">
              <w:rPr>
                <w:rFonts w:eastAsia="Times New Roman"/>
                <w:sz w:val="18"/>
                <w:szCs w:val="18"/>
              </w:rPr>
              <w:t>D2013 × GR</w:t>
            </w:r>
          </w:p>
        </w:tc>
        <w:tc>
          <w:tcPr>
            <w:tcW w:w="1500" w:type="dxa"/>
            <w:tcBorders>
              <w:top w:val="single" w:sz="1" w:space="0" w:color="CCCCCC"/>
              <w:left w:val="single" w:sz="1" w:space="0" w:color="CCCCCC"/>
              <w:bottom w:val="single" w:sz="1" w:space="0" w:color="CCCCCC"/>
              <w:right w:val="single" w:sz="1" w:space="0" w:color="CCCCCC"/>
            </w:tcBorders>
            <w:shd w:val="clear" w:color="auto" w:fill="FFFFFF"/>
          </w:tcPr>
          <w:p w14:paraId="41EEFD75" w14:textId="77777777" w:rsidR="006D4392" w:rsidRPr="00AD0FF4" w:rsidRDefault="00683A75" w:rsidP="00AD0FF4">
            <w:pPr>
              <w:spacing w:after="200" w:line="360" w:lineRule="auto"/>
              <w:jc w:val="both"/>
            </w:pPr>
            <w:r w:rsidRPr="00AD0FF4">
              <w:rPr>
                <w:rFonts w:eastAsia="Times New Roman"/>
                <w:sz w:val="18"/>
                <w:szCs w:val="18"/>
              </w:rPr>
              <w:t>−0.3259</w:t>
            </w:r>
          </w:p>
        </w:tc>
        <w:tc>
          <w:tcPr>
            <w:tcW w:w="1200" w:type="dxa"/>
            <w:tcBorders>
              <w:top w:val="single" w:sz="1" w:space="0" w:color="CCCCCC"/>
              <w:left w:val="single" w:sz="1" w:space="0" w:color="CCCCCC"/>
              <w:bottom w:val="single" w:sz="1" w:space="0" w:color="CCCCCC"/>
              <w:right w:val="single" w:sz="1" w:space="0" w:color="CCCCCC"/>
            </w:tcBorders>
            <w:shd w:val="clear" w:color="auto" w:fill="FFFFFF"/>
          </w:tcPr>
          <w:p w14:paraId="087E5769" w14:textId="77777777" w:rsidR="006D4392" w:rsidRPr="00AD0FF4" w:rsidRDefault="00683A75" w:rsidP="00AD0FF4">
            <w:pPr>
              <w:spacing w:after="200" w:line="360" w:lineRule="auto"/>
              <w:jc w:val="both"/>
            </w:pPr>
            <w:r w:rsidRPr="00AD0FF4">
              <w:rPr>
                <w:rFonts w:eastAsia="Times New Roman"/>
                <w:sz w:val="18"/>
                <w:szCs w:val="18"/>
              </w:rPr>
              <w:t>0.0833</w:t>
            </w:r>
          </w:p>
        </w:tc>
        <w:tc>
          <w:tcPr>
            <w:tcW w:w="900" w:type="dxa"/>
            <w:tcBorders>
              <w:top w:val="single" w:sz="1" w:space="0" w:color="CCCCCC"/>
              <w:left w:val="single" w:sz="1" w:space="0" w:color="CCCCCC"/>
              <w:bottom w:val="single" w:sz="1" w:space="0" w:color="CCCCCC"/>
              <w:right w:val="single" w:sz="1" w:space="0" w:color="CCCCCC"/>
            </w:tcBorders>
            <w:shd w:val="clear" w:color="auto" w:fill="FFFFFF"/>
          </w:tcPr>
          <w:p w14:paraId="71EC0BD1" w14:textId="77777777" w:rsidR="006D4392" w:rsidRPr="00AD0FF4" w:rsidRDefault="00683A75" w:rsidP="00AD0FF4">
            <w:pPr>
              <w:spacing w:after="200" w:line="360" w:lineRule="auto"/>
              <w:jc w:val="both"/>
            </w:pPr>
            <w:r w:rsidRPr="00AD0FF4">
              <w:rPr>
                <w:rFonts w:eastAsia="Times New Roman"/>
                <w:sz w:val="18"/>
                <w:szCs w:val="18"/>
              </w:rPr>
              <w:t>***</w:t>
            </w:r>
          </w:p>
        </w:tc>
        <w:tc>
          <w:tcPr>
            <w:tcW w:w="1200" w:type="dxa"/>
            <w:tcBorders>
              <w:top w:val="single" w:sz="1" w:space="0" w:color="CCCCCC"/>
              <w:left w:val="single" w:sz="1" w:space="0" w:color="CCCCCC"/>
              <w:bottom w:val="single" w:sz="1" w:space="0" w:color="CCCCCC"/>
              <w:right w:val="single" w:sz="1" w:space="0" w:color="CCCCCC"/>
            </w:tcBorders>
            <w:shd w:val="clear" w:color="auto" w:fill="FFFFFF"/>
          </w:tcPr>
          <w:p w14:paraId="078E455E" w14:textId="77777777" w:rsidR="006D4392" w:rsidRPr="00AD0FF4" w:rsidRDefault="00683A75" w:rsidP="00AD0FF4">
            <w:pPr>
              <w:spacing w:after="200" w:line="360" w:lineRule="auto"/>
              <w:jc w:val="both"/>
            </w:pPr>
            <w:r w:rsidRPr="00AD0FF4">
              <w:rPr>
                <w:rFonts w:eastAsia="Times New Roman"/>
                <w:sz w:val="18"/>
                <w:szCs w:val="18"/>
              </w:rPr>
              <w:t>0.0445</w:t>
            </w:r>
          </w:p>
        </w:tc>
        <w:tc>
          <w:tcPr>
            <w:tcW w:w="900" w:type="dxa"/>
            <w:tcBorders>
              <w:top w:val="single" w:sz="1" w:space="0" w:color="CCCCCC"/>
              <w:left w:val="single" w:sz="1" w:space="0" w:color="CCCCCC"/>
              <w:bottom w:val="single" w:sz="1" w:space="0" w:color="CCCCCC"/>
              <w:right w:val="single" w:sz="1" w:space="0" w:color="CCCCCC"/>
            </w:tcBorders>
            <w:shd w:val="clear" w:color="auto" w:fill="FFFFFF"/>
          </w:tcPr>
          <w:p w14:paraId="7807E51C" w14:textId="77777777" w:rsidR="006D4392" w:rsidRPr="00AD0FF4" w:rsidRDefault="00683A75" w:rsidP="00AD0FF4">
            <w:pPr>
              <w:spacing w:after="200" w:line="360" w:lineRule="auto"/>
              <w:jc w:val="both"/>
            </w:pPr>
            <w:r w:rsidRPr="00AD0FF4">
              <w:rPr>
                <w:rFonts w:eastAsia="Times New Roman"/>
                <w:sz w:val="18"/>
                <w:szCs w:val="18"/>
              </w:rPr>
              <w:t>***</w:t>
            </w:r>
          </w:p>
        </w:tc>
      </w:tr>
      <w:tr w:rsidR="006D4392" w:rsidRPr="00AD0FF4" w14:paraId="434B1DCB" w14:textId="77777777">
        <w:tc>
          <w:tcPr>
            <w:tcW w:w="3000" w:type="dxa"/>
            <w:tcBorders>
              <w:top w:val="single" w:sz="1" w:space="0" w:color="CCCCCC"/>
              <w:left w:val="single" w:sz="1" w:space="0" w:color="CCCCCC"/>
              <w:bottom w:val="single" w:sz="1" w:space="0" w:color="CCCCCC"/>
              <w:right w:val="single" w:sz="1" w:space="0" w:color="CCCCCC"/>
            </w:tcBorders>
            <w:shd w:val="clear" w:color="auto" w:fill="F5F7FA"/>
          </w:tcPr>
          <w:p w14:paraId="6C493D57" w14:textId="77777777" w:rsidR="006D4392" w:rsidRPr="00AD0FF4" w:rsidRDefault="00683A75" w:rsidP="00AD0FF4">
            <w:pPr>
              <w:spacing w:after="200" w:line="360" w:lineRule="auto"/>
              <w:jc w:val="both"/>
            </w:pPr>
            <w:r w:rsidRPr="00AD0FF4">
              <w:rPr>
                <w:rFonts w:eastAsia="Times New Roman"/>
                <w:sz w:val="18"/>
                <w:szCs w:val="18"/>
              </w:rPr>
              <w:t>D1992 × Op</w:t>
            </w:r>
          </w:p>
        </w:tc>
        <w:tc>
          <w:tcPr>
            <w:tcW w:w="1500" w:type="dxa"/>
            <w:tcBorders>
              <w:top w:val="single" w:sz="1" w:space="0" w:color="CCCCCC"/>
              <w:left w:val="single" w:sz="1" w:space="0" w:color="CCCCCC"/>
              <w:bottom w:val="single" w:sz="1" w:space="0" w:color="CCCCCC"/>
              <w:right w:val="single" w:sz="1" w:space="0" w:color="CCCCCC"/>
            </w:tcBorders>
            <w:shd w:val="clear" w:color="auto" w:fill="F5F7FA"/>
          </w:tcPr>
          <w:p w14:paraId="50C31CDA" w14:textId="77777777" w:rsidR="006D4392" w:rsidRPr="00AD0FF4" w:rsidRDefault="00683A75" w:rsidP="00AD0FF4">
            <w:pPr>
              <w:spacing w:after="200" w:line="360" w:lineRule="auto"/>
              <w:jc w:val="both"/>
            </w:pPr>
            <w:r w:rsidRPr="00AD0FF4">
              <w:rPr>
                <w:rFonts w:eastAsia="Times New Roman"/>
                <w:sz w:val="18"/>
                <w:szCs w:val="18"/>
              </w:rPr>
              <w:t>−0.0323</w:t>
            </w:r>
          </w:p>
        </w:tc>
        <w:tc>
          <w:tcPr>
            <w:tcW w:w="1200" w:type="dxa"/>
            <w:tcBorders>
              <w:top w:val="single" w:sz="1" w:space="0" w:color="CCCCCC"/>
              <w:left w:val="single" w:sz="1" w:space="0" w:color="CCCCCC"/>
              <w:bottom w:val="single" w:sz="1" w:space="0" w:color="CCCCCC"/>
              <w:right w:val="single" w:sz="1" w:space="0" w:color="CCCCCC"/>
            </w:tcBorders>
            <w:shd w:val="clear" w:color="auto" w:fill="F5F7FA"/>
          </w:tcPr>
          <w:p w14:paraId="6836C6E9" w14:textId="77777777" w:rsidR="006D4392" w:rsidRPr="00AD0FF4" w:rsidRDefault="00683A75" w:rsidP="00AD0FF4">
            <w:pPr>
              <w:spacing w:after="200" w:line="360" w:lineRule="auto"/>
              <w:jc w:val="both"/>
            </w:pPr>
            <w:r w:rsidRPr="00AD0FF4">
              <w:rPr>
                <w:rFonts w:eastAsia="Times New Roman"/>
                <w:sz w:val="18"/>
                <w:szCs w:val="18"/>
              </w:rPr>
              <w:t>0.0049</w:t>
            </w:r>
          </w:p>
        </w:tc>
        <w:tc>
          <w:tcPr>
            <w:tcW w:w="900" w:type="dxa"/>
            <w:tcBorders>
              <w:top w:val="single" w:sz="1" w:space="0" w:color="CCCCCC"/>
              <w:left w:val="single" w:sz="1" w:space="0" w:color="CCCCCC"/>
              <w:bottom w:val="single" w:sz="1" w:space="0" w:color="CCCCCC"/>
              <w:right w:val="single" w:sz="1" w:space="0" w:color="CCCCCC"/>
            </w:tcBorders>
            <w:shd w:val="clear" w:color="auto" w:fill="F5F7FA"/>
          </w:tcPr>
          <w:p w14:paraId="1879D22E" w14:textId="77777777" w:rsidR="006D4392" w:rsidRPr="00AD0FF4" w:rsidRDefault="00683A75" w:rsidP="00AD0FF4">
            <w:pPr>
              <w:spacing w:after="200" w:line="360" w:lineRule="auto"/>
              <w:jc w:val="both"/>
            </w:pPr>
            <w:r w:rsidRPr="00AD0FF4">
              <w:rPr>
                <w:rFonts w:eastAsia="Times New Roman"/>
                <w:sz w:val="18"/>
                <w:szCs w:val="18"/>
              </w:rPr>
              <w:t>***</w:t>
            </w:r>
          </w:p>
        </w:tc>
        <w:tc>
          <w:tcPr>
            <w:tcW w:w="1200" w:type="dxa"/>
            <w:tcBorders>
              <w:top w:val="single" w:sz="1" w:space="0" w:color="CCCCCC"/>
              <w:left w:val="single" w:sz="1" w:space="0" w:color="CCCCCC"/>
              <w:bottom w:val="single" w:sz="1" w:space="0" w:color="CCCCCC"/>
              <w:right w:val="single" w:sz="1" w:space="0" w:color="CCCCCC"/>
            </w:tcBorders>
            <w:shd w:val="clear" w:color="auto" w:fill="F5F7FA"/>
          </w:tcPr>
          <w:p w14:paraId="1480FA04" w14:textId="77777777" w:rsidR="006D4392" w:rsidRPr="00AD0FF4" w:rsidRDefault="00683A75" w:rsidP="00AD0FF4">
            <w:pPr>
              <w:spacing w:after="200" w:line="360" w:lineRule="auto"/>
              <w:jc w:val="both"/>
            </w:pPr>
            <w:r w:rsidRPr="00AD0FF4">
              <w:rPr>
                <w:rFonts w:eastAsia="Times New Roman"/>
                <w:sz w:val="18"/>
                <w:szCs w:val="18"/>
              </w:rPr>
              <w:t>0.0026</w:t>
            </w:r>
          </w:p>
        </w:tc>
        <w:tc>
          <w:tcPr>
            <w:tcW w:w="900" w:type="dxa"/>
            <w:tcBorders>
              <w:top w:val="single" w:sz="1" w:space="0" w:color="CCCCCC"/>
              <w:left w:val="single" w:sz="1" w:space="0" w:color="CCCCCC"/>
              <w:bottom w:val="single" w:sz="1" w:space="0" w:color="CCCCCC"/>
              <w:right w:val="single" w:sz="1" w:space="0" w:color="CCCCCC"/>
            </w:tcBorders>
            <w:shd w:val="clear" w:color="auto" w:fill="F5F7FA"/>
          </w:tcPr>
          <w:p w14:paraId="330433FC" w14:textId="77777777" w:rsidR="006D4392" w:rsidRPr="00AD0FF4" w:rsidRDefault="00683A75" w:rsidP="00AD0FF4">
            <w:pPr>
              <w:spacing w:after="200" w:line="360" w:lineRule="auto"/>
              <w:jc w:val="both"/>
            </w:pPr>
            <w:r w:rsidRPr="00AD0FF4">
              <w:rPr>
                <w:rFonts w:eastAsia="Times New Roman"/>
                <w:sz w:val="18"/>
                <w:szCs w:val="18"/>
              </w:rPr>
              <w:t>***</w:t>
            </w:r>
          </w:p>
        </w:tc>
      </w:tr>
      <w:tr w:rsidR="006D4392" w:rsidRPr="00AD0FF4" w14:paraId="4E71454B" w14:textId="77777777">
        <w:tc>
          <w:tcPr>
            <w:tcW w:w="3000" w:type="dxa"/>
            <w:tcBorders>
              <w:top w:val="single" w:sz="1" w:space="0" w:color="CCCCCC"/>
              <w:left w:val="single" w:sz="1" w:space="0" w:color="CCCCCC"/>
              <w:bottom w:val="single" w:sz="1" w:space="0" w:color="CCCCCC"/>
              <w:right w:val="single" w:sz="1" w:space="0" w:color="CCCCCC"/>
            </w:tcBorders>
            <w:shd w:val="clear" w:color="auto" w:fill="FFFFFF"/>
          </w:tcPr>
          <w:p w14:paraId="33C2C705" w14:textId="77777777" w:rsidR="006D4392" w:rsidRPr="00AD0FF4" w:rsidRDefault="00683A75" w:rsidP="00AD0FF4">
            <w:pPr>
              <w:spacing w:after="200" w:line="360" w:lineRule="auto"/>
              <w:jc w:val="both"/>
            </w:pPr>
            <w:r w:rsidRPr="00AD0FF4">
              <w:rPr>
                <w:rFonts w:eastAsia="Times New Roman"/>
                <w:sz w:val="18"/>
                <w:szCs w:val="18"/>
              </w:rPr>
              <w:t>D2013 × Op</w:t>
            </w:r>
          </w:p>
        </w:tc>
        <w:tc>
          <w:tcPr>
            <w:tcW w:w="1500" w:type="dxa"/>
            <w:tcBorders>
              <w:top w:val="single" w:sz="1" w:space="0" w:color="CCCCCC"/>
              <w:left w:val="single" w:sz="1" w:space="0" w:color="CCCCCC"/>
              <w:bottom w:val="single" w:sz="1" w:space="0" w:color="CCCCCC"/>
              <w:right w:val="single" w:sz="1" w:space="0" w:color="CCCCCC"/>
            </w:tcBorders>
            <w:shd w:val="clear" w:color="auto" w:fill="FFFFFF"/>
          </w:tcPr>
          <w:p w14:paraId="5259CF3A" w14:textId="77777777" w:rsidR="006D4392" w:rsidRPr="00AD0FF4" w:rsidRDefault="00683A75" w:rsidP="00AD0FF4">
            <w:pPr>
              <w:spacing w:after="200" w:line="360" w:lineRule="auto"/>
              <w:jc w:val="both"/>
            </w:pPr>
            <w:r w:rsidRPr="00AD0FF4">
              <w:rPr>
                <w:rFonts w:eastAsia="Times New Roman"/>
                <w:sz w:val="18"/>
                <w:szCs w:val="18"/>
              </w:rPr>
              <w:t>0.0026</w:t>
            </w:r>
          </w:p>
        </w:tc>
        <w:tc>
          <w:tcPr>
            <w:tcW w:w="1200" w:type="dxa"/>
            <w:tcBorders>
              <w:top w:val="single" w:sz="1" w:space="0" w:color="CCCCCC"/>
              <w:left w:val="single" w:sz="1" w:space="0" w:color="CCCCCC"/>
              <w:bottom w:val="single" w:sz="1" w:space="0" w:color="CCCCCC"/>
              <w:right w:val="single" w:sz="1" w:space="0" w:color="CCCCCC"/>
            </w:tcBorders>
            <w:shd w:val="clear" w:color="auto" w:fill="FFFFFF"/>
          </w:tcPr>
          <w:p w14:paraId="5A6FB7B0" w14:textId="77777777" w:rsidR="006D4392" w:rsidRPr="00AD0FF4" w:rsidRDefault="00683A75" w:rsidP="00AD0FF4">
            <w:pPr>
              <w:spacing w:after="200" w:line="360" w:lineRule="auto"/>
              <w:jc w:val="both"/>
            </w:pPr>
            <w:r w:rsidRPr="00AD0FF4">
              <w:rPr>
                <w:rFonts w:eastAsia="Times New Roman"/>
                <w:sz w:val="18"/>
                <w:szCs w:val="18"/>
              </w:rPr>
              <w:t>0.0068</w:t>
            </w:r>
          </w:p>
        </w:tc>
        <w:tc>
          <w:tcPr>
            <w:tcW w:w="900" w:type="dxa"/>
            <w:tcBorders>
              <w:top w:val="single" w:sz="1" w:space="0" w:color="CCCCCC"/>
              <w:left w:val="single" w:sz="1" w:space="0" w:color="CCCCCC"/>
              <w:bottom w:val="single" w:sz="1" w:space="0" w:color="CCCCCC"/>
              <w:right w:val="single" w:sz="1" w:space="0" w:color="CCCCCC"/>
            </w:tcBorders>
            <w:shd w:val="clear" w:color="auto" w:fill="FFFFFF"/>
          </w:tcPr>
          <w:p w14:paraId="0AE6D00E" w14:textId="77777777" w:rsidR="006D4392" w:rsidRPr="00AD0FF4" w:rsidRDefault="00683A75" w:rsidP="00AD0FF4">
            <w:pPr>
              <w:spacing w:after="200" w:line="360" w:lineRule="auto"/>
              <w:jc w:val="both"/>
            </w:pPr>
            <w:r w:rsidRPr="00AD0FF4">
              <w:rPr>
                <w:rFonts w:eastAsia="Times New Roman"/>
                <w:sz w:val="18"/>
                <w:szCs w:val="18"/>
              </w:rPr>
              <w:t>n.s.</w:t>
            </w:r>
          </w:p>
        </w:tc>
        <w:tc>
          <w:tcPr>
            <w:tcW w:w="1200" w:type="dxa"/>
            <w:tcBorders>
              <w:top w:val="single" w:sz="1" w:space="0" w:color="CCCCCC"/>
              <w:left w:val="single" w:sz="1" w:space="0" w:color="CCCCCC"/>
              <w:bottom w:val="single" w:sz="1" w:space="0" w:color="CCCCCC"/>
              <w:right w:val="single" w:sz="1" w:space="0" w:color="CCCCCC"/>
            </w:tcBorders>
            <w:shd w:val="clear" w:color="auto" w:fill="FFFFFF"/>
          </w:tcPr>
          <w:p w14:paraId="53C858E4" w14:textId="77777777" w:rsidR="006D4392" w:rsidRPr="00AD0FF4" w:rsidRDefault="00683A75" w:rsidP="00AD0FF4">
            <w:pPr>
              <w:spacing w:after="200" w:line="360" w:lineRule="auto"/>
              <w:jc w:val="both"/>
            </w:pPr>
            <w:r w:rsidRPr="00AD0FF4">
              <w:rPr>
                <w:rFonts w:eastAsia="Times New Roman"/>
                <w:sz w:val="18"/>
                <w:szCs w:val="18"/>
              </w:rPr>
              <w:t>0.0051</w:t>
            </w:r>
          </w:p>
        </w:tc>
        <w:tc>
          <w:tcPr>
            <w:tcW w:w="900" w:type="dxa"/>
            <w:tcBorders>
              <w:top w:val="single" w:sz="1" w:space="0" w:color="CCCCCC"/>
              <w:left w:val="single" w:sz="1" w:space="0" w:color="CCCCCC"/>
              <w:bottom w:val="single" w:sz="1" w:space="0" w:color="CCCCCC"/>
              <w:right w:val="single" w:sz="1" w:space="0" w:color="CCCCCC"/>
            </w:tcBorders>
            <w:shd w:val="clear" w:color="auto" w:fill="FFFFFF"/>
          </w:tcPr>
          <w:p w14:paraId="4806F852" w14:textId="77777777" w:rsidR="006D4392" w:rsidRPr="00AD0FF4" w:rsidRDefault="00683A75" w:rsidP="00AD0FF4">
            <w:pPr>
              <w:spacing w:after="200" w:line="360" w:lineRule="auto"/>
              <w:jc w:val="both"/>
            </w:pPr>
            <w:r w:rsidRPr="00AD0FF4">
              <w:rPr>
                <w:rFonts w:eastAsia="Times New Roman"/>
                <w:sz w:val="18"/>
                <w:szCs w:val="18"/>
              </w:rPr>
              <w:t>n.s.</w:t>
            </w:r>
          </w:p>
        </w:tc>
      </w:tr>
      <w:tr w:rsidR="006D4392" w:rsidRPr="00AD0FF4" w14:paraId="2709C391" w14:textId="77777777">
        <w:tc>
          <w:tcPr>
            <w:tcW w:w="3000" w:type="dxa"/>
            <w:tcBorders>
              <w:top w:val="single" w:sz="1" w:space="0" w:color="CCCCCC"/>
              <w:left w:val="single" w:sz="1" w:space="0" w:color="CCCCCC"/>
              <w:bottom w:val="single" w:sz="1" w:space="0" w:color="CCCCCC"/>
              <w:right w:val="single" w:sz="1" w:space="0" w:color="CCCCCC"/>
            </w:tcBorders>
            <w:shd w:val="clear" w:color="auto" w:fill="F5F7FA"/>
          </w:tcPr>
          <w:p w14:paraId="6A7C307A" w14:textId="77777777" w:rsidR="006D4392" w:rsidRPr="00AD0FF4" w:rsidRDefault="00683A75" w:rsidP="00AD0FF4">
            <w:pPr>
              <w:spacing w:after="200" w:line="360" w:lineRule="auto"/>
              <w:jc w:val="both"/>
            </w:pPr>
            <w:r w:rsidRPr="00AD0FF4">
              <w:rPr>
                <w:rFonts w:eastAsia="Times New Roman"/>
                <w:sz w:val="18"/>
                <w:szCs w:val="18"/>
              </w:rPr>
              <w:t>R²</w:t>
            </w:r>
          </w:p>
        </w:tc>
        <w:tc>
          <w:tcPr>
            <w:tcW w:w="1500" w:type="dxa"/>
            <w:tcBorders>
              <w:top w:val="single" w:sz="1" w:space="0" w:color="CCCCCC"/>
              <w:left w:val="single" w:sz="1" w:space="0" w:color="CCCCCC"/>
              <w:bottom w:val="single" w:sz="1" w:space="0" w:color="CCCCCC"/>
              <w:right w:val="single" w:sz="1" w:space="0" w:color="CCCCCC"/>
            </w:tcBorders>
            <w:shd w:val="clear" w:color="auto" w:fill="F5F7FA"/>
          </w:tcPr>
          <w:p w14:paraId="395C972E" w14:textId="77777777" w:rsidR="006D4392" w:rsidRPr="00AD0FF4" w:rsidRDefault="00683A75" w:rsidP="00AD0FF4">
            <w:pPr>
              <w:spacing w:after="200" w:line="360" w:lineRule="auto"/>
              <w:jc w:val="both"/>
            </w:pPr>
            <w:r w:rsidRPr="00AD0FF4">
              <w:rPr>
                <w:rFonts w:eastAsia="Times New Roman"/>
                <w:sz w:val="18"/>
                <w:szCs w:val="18"/>
              </w:rPr>
              <w:t>0.9981</w:t>
            </w:r>
          </w:p>
        </w:tc>
        <w:tc>
          <w:tcPr>
            <w:tcW w:w="1200" w:type="dxa"/>
            <w:tcBorders>
              <w:top w:val="single" w:sz="1" w:space="0" w:color="CCCCCC"/>
              <w:left w:val="single" w:sz="1" w:space="0" w:color="CCCCCC"/>
              <w:bottom w:val="single" w:sz="1" w:space="0" w:color="CCCCCC"/>
              <w:right w:val="single" w:sz="1" w:space="0" w:color="CCCCCC"/>
            </w:tcBorders>
            <w:shd w:val="clear" w:color="auto" w:fill="F5F7FA"/>
          </w:tcPr>
          <w:p w14:paraId="302097E7" w14:textId="77777777" w:rsidR="006D4392" w:rsidRPr="00AD0FF4" w:rsidRDefault="006D4392" w:rsidP="00AD0FF4">
            <w:pPr>
              <w:spacing w:after="200" w:line="360" w:lineRule="auto"/>
              <w:jc w:val="both"/>
            </w:pPr>
          </w:p>
        </w:tc>
        <w:tc>
          <w:tcPr>
            <w:tcW w:w="900" w:type="dxa"/>
            <w:tcBorders>
              <w:top w:val="single" w:sz="1" w:space="0" w:color="CCCCCC"/>
              <w:left w:val="single" w:sz="1" w:space="0" w:color="CCCCCC"/>
              <w:bottom w:val="single" w:sz="1" w:space="0" w:color="CCCCCC"/>
              <w:right w:val="single" w:sz="1" w:space="0" w:color="CCCCCC"/>
            </w:tcBorders>
            <w:shd w:val="clear" w:color="auto" w:fill="F5F7FA"/>
          </w:tcPr>
          <w:p w14:paraId="6D704ABD" w14:textId="77777777" w:rsidR="006D4392" w:rsidRPr="00AD0FF4" w:rsidRDefault="006D4392" w:rsidP="00AD0FF4">
            <w:pPr>
              <w:spacing w:after="200" w:line="360" w:lineRule="auto"/>
              <w:jc w:val="both"/>
            </w:pPr>
          </w:p>
        </w:tc>
        <w:tc>
          <w:tcPr>
            <w:tcW w:w="1200" w:type="dxa"/>
            <w:tcBorders>
              <w:top w:val="single" w:sz="1" w:space="0" w:color="CCCCCC"/>
              <w:left w:val="single" w:sz="1" w:space="0" w:color="CCCCCC"/>
              <w:bottom w:val="single" w:sz="1" w:space="0" w:color="CCCCCC"/>
              <w:right w:val="single" w:sz="1" w:space="0" w:color="CCCCCC"/>
            </w:tcBorders>
            <w:shd w:val="clear" w:color="auto" w:fill="F5F7FA"/>
          </w:tcPr>
          <w:p w14:paraId="07F01BFD" w14:textId="77777777" w:rsidR="006D4392" w:rsidRPr="00AD0FF4" w:rsidRDefault="006D4392" w:rsidP="00AD0FF4">
            <w:pPr>
              <w:spacing w:after="200" w:line="360" w:lineRule="auto"/>
              <w:jc w:val="both"/>
            </w:pPr>
          </w:p>
        </w:tc>
        <w:tc>
          <w:tcPr>
            <w:tcW w:w="900" w:type="dxa"/>
            <w:tcBorders>
              <w:top w:val="single" w:sz="1" w:space="0" w:color="CCCCCC"/>
              <w:left w:val="single" w:sz="1" w:space="0" w:color="CCCCCC"/>
              <w:bottom w:val="single" w:sz="1" w:space="0" w:color="CCCCCC"/>
              <w:right w:val="single" w:sz="1" w:space="0" w:color="CCCCCC"/>
            </w:tcBorders>
            <w:shd w:val="clear" w:color="auto" w:fill="F5F7FA"/>
          </w:tcPr>
          <w:p w14:paraId="216E7EF8" w14:textId="77777777" w:rsidR="006D4392" w:rsidRPr="00AD0FF4" w:rsidRDefault="006D4392" w:rsidP="00AD0FF4">
            <w:pPr>
              <w:spacing w:after="200" w:line="360" w:lineRule="auto"/>
              <w:jc w:val="both"/>
            </w:pPr>
          </w:p>
        </w:tc>
      </w:tr>
      <w:tr w:rsidR="006D4392" w:rsidRPr="00AD0FF4" w14:paraId="68A664C0" w14:textId="77777777">
        <w:tc>
          <w:tcPr>
            <w:tcW w:w="3000" w:type="dxa"/>
            <w:tcBorders>
              <w:top w:val="single" w:sz="1" w:space="0" w:color="CCCCCC"/>
              <w:left w:val="single" w:sz="1" w:space="0" w:color="CCCCCC"/>
              <w:bottom w:val="single" w:sz="1" w:space="0" w:color="CCCCCC"/>
              <w:right w:val="single" w:sz="1" w:space="0" w:color="CCCCCC"/>
            </w:tcBorders>
            <w:shd w:val="clear" w:color="auto" w:fill="FFFFFF"/>
          </w:tcPr>
          <w:p w14:paraId="3CA0527D" w14:textId="77777777" w:rsidR="006D4392" w:rsidRPr="00AD0FF4" w:rsidRDefault="00683A75" w:rsidP="00AD0FF4">
            <w:pPr>
              <w:spacing w:after="200" w:line="360" w:lineRule="auto"/>
              <w:jc w:val="both"/>
            </w:pPr>
            <w:r w:rsidRPr="00AD0FF4">
              <w:rPr>
                <w:rFonts w:eastAsia="Times New Roman"/>
                <w:sz w:val="18"/>
                <w:szCs w:val="18"/>
              </w:rPr>
              <w:t>Adj. R²</w:t>
            </w:r>
          </w:p>
        </w:tc>
        <w:tc>
          <w:tcPr>
            <w:tcW w:w="1500" w:type="dxa"/>
            <w:tcBorders>
              <w:top w:val="single" w:sz="1" w:space="0" w:color="CCCCCC"/>
              <w:left w:val="single" w:sz="1" w:space="0" w:color="CCCCCC"/>
              <w:bottom w:val="single" w:sz="1" w:space="0" w:color="CCCCCC"/>
              <w:right w:val="single" w:sz="1" w:space="0" w:color="CCCCCC"/>
            </w:tcBorders>
            <w:shd w:val="clear" w:color="auto" w:fill="FFFFFF"/>
          </w:tcPr>
          <w:p w14:paraId="6D8963D1" w14:textId="77777777" w:rsidR="006D4392" w:rsidRPr="00AD0FF4" w:rsidRDefault="00683A75" w:rsidP="00AD0FF4">
            <w:pPr>
              <w:spacing w:after="200" w:line="360" w:lineRule="auto"/>
              <w:jc w:val="both"/>
            </w:pPr>
            <w:r w:rsidRPr="00AD0FF4">
              <w:rPr>
                <w:rFonts w:eastAsia="Times New Roman"/>
                <w:sz w:val="18"/>
                <w:szCs w:val="18"/>
              </w:rPr>
              <w:t>0.9971</w:t>
            </w:r>
          </w:p>
        </w:tc>
        <w:tc>
          <w:tcPr>
            <w:tcW w:w="1200" w:type="dxa"/>
            <w:tcBorders>
              <w:top w:val="single" w:sz="1" w:space="0" w:color="CCCCCC"/>
              <w:left w:val="single" w:sz="1" w:space="0" w:color="CCCCCC"/>
              <w:bottom w:val="single" w:sz="1" w:space="0" w:color="CCCCCC"/>
              <w:right w:val="single" w:sz="1" w:space="0" w:color="CCCCCC"/>
            </w:tcBorders>
            <w:shd w:val="clear" w:color="auto" w:fill="FFFFFF"/>
          </w:tcPr>
          <w:p w14:paraId="4AC74408" w14:textId="77777777" w:rsidR="006D4392" w:rsidRPr="00AD0FF4" w:rsidRDefault="006D4392" w:rsidP="00AD0FF4">
            <w:pPr>
              <w:spacing w:after="200" w:line="360" w:lineRule="auto"/>
              <w:jc w:val="both"/>
            </w:pPr>
          </w:p>
        </w:tc>
        <w:tc>
          <w:tcPr>
            <w:tcW w:w="900" w:type="dxa"/>
            <w:tcBorders>
              <w:top w:val="single" w:sz="1" w:space="0" w:color="CCCCCC"/>
              <w:left w:val="single" w:sz="1" w:space="0" w:color="CCCCCC"/>
              <w:bottom w:val="single" w:sz="1" w:space="0" w:color="CCCCCC"/>
              <w:right w:val="single" w:sz="1" w:space="0" w:color="CCCCCC"/>
            </w:tcBorders>
            <w:shd w:val="clear" w:color="auto" w:fill="FFFFFF"/>
          </w:tcPr>
          <w:p w14:paraId="5989D187" w14:textId="77777777" w:rsidR="006D4392" w:rsidRPr="00AD0FF4" w:rsidRDefault="006D4392" w:rsidP="00AD0FF4">
            <w:pPr>
              <w:spacing w:after="200" w:line="360" w:lineRule="auto"/>
              <w:jc w:val="both"/>
            </w:pPr>
          </w:p>
        </w:tc>
        <w:tc>
          <w:tcPr>
            <w:tcW w:w="1200" w:type="dxa"/>
            <w:tcBorders>
              <w:top w:val="single" w:sz="1" w:space="0" w:color="CCCCCC"/>
              <w:left w:val="single" w:sz="1" w:space="0" w:color="CCCCCC"/>
              <w:bottom w:val="single" w:sz="1" w:space="0" w:color="CCCCCC"/>
              <w:right w:val="single" w:sz="1" w:space="0" w:color="CCCCCC"/>
            </w:tcBorders>
            <w:shd w:val="clear" w:color="auto" w:fill="FFFFFF"/>
          </w:tcPr>
          <w:p w14:paraId="17381418" w14:textId="77777777" w:rsidR="006D4392" w:rsidRPr="00AD0FF4" w:rsidRDefault="006D4392" w:rsidP="00AD0FF4">
            <w:pPr>
              <w:spacing w:after="200" w:line="360" w:lineRule="auto"/>
              <w:jc w:val="both"/>
            </w:pPr>
          </w:p>
        </w:tc>
        <w:tc>
          <w:tcPr>
            <w:tcW w:w="900" w:type="dxa"/>
            <w:tcBorders>
              <w:top w:val="single" w:sz="1" w:space="0" w:color="CCCCCC"/>
              <w:left w:val="single" w:sz="1" w:space="0" w:color="CCCCCC"/>
              <w:bottom w:val="single" w:sz="1" w:space="0" w:color="CCCCCC"/>
              <w:right w:val="single" w:sz="1" w:space="0" w:color="CCCCCC"/>
            </w:tcBorders>
            <w:shd w:val="clear" w:color="auto" w:fill="FFFFFF"/>
          </w:tcPr>
          <w:p w14:paraId="5D678D59" w14:textId="77777777" w:rsidR="006D4392" w:rsidRPr="00AD0FF4" w:rsidRDefault="006D4392" w:rsidP="00AD0FF4">
            <w:pPr>
              <w:spacing w:after="200" w:line="360" w:lineRule="auto"/>
              <w:jc w:val="both"/>
            </w:pPr>
          </w:p>
        </w:tc>
      </w:tr>
      <w:tr w:rsidR="006D4392" w:rsidRPr="00AD0FF4" w14:paraId="1F6E87B4" w14:textId="77777777">
        <w:tc>
          <w:tcPr>
            <w:tcW w:w="3000" w:type="dxa"/>
            <w:tcBorders>
              <w:top w:val="single" w:sz="1" w:space="0" w:color="CCCCCC"/>
              <w:left w:val="single" w:sz="1" w:space="0" w:color="CCCCCC"/>
              <w:bottom w:val="single" w:sz="1" w:space="0" w:color="CCCCCC"/>
              <w:right w:val="single" w:sz="1" w:space="0" w:color="CCCCCC"/>
            </w:tcBorders>
            <w:shd w:val="clear" w:color="auto" w:fill="F5F7FA"/>
          </w:tcPr>
          <w:p w14:paraId="5273F649" w14:textId="77777777" w:rsidR="006D4392" w:rsidRPr="00AD0FF4" w:rsidRDefault="00683A75" w:rsidP="00AD0FF4">
            <w:pPr>
              <w:spacing w:after="200" w:line="360" w:lineRule="auto"/>
              <w:jc w:val="both"/>
            </w:pPr>
            <w:r w:rsidRPr="00AD0FF4">
              <w:rPr>
                <w:rFonts w:eastAsia="Times New Roman"/>
                <w:sz w:val="18"/>
                <w:szCs w:val="18"/>
              </w:rPr>
              <w:t>DW</w:t>
            </w:r>
          </w:p>
        </w:tc>
        <w:tc>
          <w:tcPr>
            <w:tcW w:w="1500" w:type="dxa"/>
            <w:tcBorders>
              <w:top w:val="single" w:sz="1" w:space="0" w:color="CCCCCC"/>
              <w:left w:val="single" w:sz="1" w:space="0" w:color="CCCCCC"/>
              <w:bottom w:val="single" w:sz="1" w:space="0" w:color="CCCCCC"/>
              <w:right w:val="single" w:sz="1" w:space="0" w:color="CCCCCC"/>
            </w:tcBorders>
            <w:shd w:val="clear" w:color="auto" w:fill="F5F7FA"/>
          </w:tcPr>
          <w:p w14:paraId="45BC34DF" w14:textId="77777777" w:rsidR="006D4392" w:rsidRPr="00AD0FF4" w:rsidRDefault="00683A75" w:rsidP="00AD0FF4">
            <w:pPr>
              <w:spacing w:after="200" w:line="360" w:lineRule="auto"/>
              <w:jc w:val="both"/>
            </w:pPr>
            <w:r w:rsidRPr="00AD0FF4">
              <w:rPr>
                <w:rFonts w:eastAsia="Times New Roman"/>
                <w:sz w:val="18"/>
                <w:szCs w:val="18"/>
              </w:rPr>
              <w:t>1.244</w:t>
            </w:r>
          </w:p>
        </w:tc>
        <w:tc>
          <w:tcPr>
            <w:tcW w:w="1200" w:type="dxa"/>
            <w:tcBorders>
              <w:top w:val="single" w:sz="1" w:space="0" w:color="CCCCCC"/>
              <w:left w:val="single" w:sz="1" w:space="0" w:color="CCCCCC"/>
              <w:bottom w:val="single" w:sz="1" w:space="0" w:color="CCCCCC"/>
              <w:right w:val="single" w:sz="1" w:space="0" w:color="CCCCCC"/>
            </w:tcBorders>
            <w:shd w:val="clear" w:color="auto" w:fill="F5F7FA"/>
          </w:tcPr>
          <w:p w14:paraId="60452D7F" w14:textId="77777777" w:rsidR="006D4392" w:rsidRPr="00AD0FF4" w:rsidRDefault="006D4392" w:rsidP="00AD0FF4">
            <w:pPr>
              <w:spacing w:after="200" w:line="360" w:lineRule="auto"/>
              <w:jc w:val="both"/>
            </w:pPr>
          </w:p>
        </w:tc>
        <w:tc>
          <w:tcPr>
            <w:tcW w:w="900" w:type="dxa"/>
            <w:tcBorders>
              <w:top w:val="single" w:sz="1" w:space="0" w:color="CCCCCC"/>
              <w:left w:val="single" w:sz="1" w:space="0" w:color="CCCCCC"/>
              <w:bottom w:val="single" w:sz="1" w:space="0" w:color="CCCCCC"/>
              <w:right w:val="single" w:sz="1" w:space="0" w:color="CCCCCC"/>
            </w:tcBorders>
            <w:shd w:val="clear" w:color="auto" w:fill="F5F7FA"/>
          </w:tcPr>
          <w:p w14:paraId="58EF3CD9" w14:textId="77777777" w:rsidR="006D4392" w:rsidRPr="00AD0FF4" w:rsidRDefault="006D4392" w:rsidP="00AD0FF4">
            <w:pPr>
              <w:spacing w:after="200" w:line="360" w:lineRule="auto"/>
              <w:jc w:val="both"/>
            </w:pPr>
          </w:p>
        </w:tc>
        <w:tc>
          <w:tcPr>
            <w:tcW w:w="1200" w:type="dxa"/>
            <w:tcBorders>
              <w:top w:val="single" w:sz="1" w:space="0" w:color="CCCCCC"/>
              <w:left w:val="single" w:sz="1" w:space="0" w:color="CCCCCC"/>
              <w:bottom w:val="single" w:sz="1" w:space="0" w:color="CCCCCC"/>
              <w:right w:val="single" w:sz="1" w:space="0" w:color="CCCCCC"/>
            </w:tcBorders>
            <w:shd w:val="clear" w:color="auto" w:fill="F5F7FA"/>
          </w:tcPr>
          <w:p w14:paraId="6CFE3742" w14:textId="77777777" w:rsidR="006D4392" w:rsidRPr="00AD0FF4" w:rsidRDefault="006D4392" w:rsidP="00AD0FF4">
            <w:pPr>
              <w:spacing w:after="200" w:line="360" w:lineRule="auto"/>
              <w:jc w:val="both"/>
            </w:pPr>
          </w:p>
        </w:tc>
        <w:tc>
          <w:tcPr>
            <w:tcW w:w="900" w:type="dxa"/>
            <w:tcBorders>
              <w:top w:val="single" w:sz="1" w:space="0" w:color="CCCCCC"/>
              <w:left w:val="single" w:sz="1" w:space="0" w:color="CCCCCC"/>
              <w:bottom w:val="single" w:sz="1" w:space="0" w:color="CCCCCC"/>
              <w:right w:val="single" w:sz="1" w:space="0" w:color="CCCCCC"/>
            </w:tcBorders>
            <w:shd w:val="clear" w:color="auto" w:fill="F5F7FA"/>
          </w:tcPr>
          <w:p w14:paraId="6F9AC46D" w14:textId="77777777" w:rsidR="006D4392" w:rsidRPr="00AD0FF4" w:rsidRDefault="006D4392" w:rsidP="00AD0FF4">
            <w:pPr>
              <w:spacing w:after="200" w:line="360" w:lineRule="auto"/>
              <w:jc w:val="both"/>
            </w:pPr>
          </w:p>
        </w:tc>
      </w:tr>
      <w:tr w:rsidR="006D4392" w:rsidRPr="00AD0FF4" w14:paraId="18A74345" w14:textId="77777777">
        <w:tc>
          <w:tcPr>
            <w:tcW w:w="3000" w:type="dxa"/>
            <w:tcBorders>
              <w:top w:val="single" w:sz="1" w:space="0" w:color="CCCCCC"/>
              <w:left w:val="single" w:sz="1" w:space="0" w:color="CCCCCC"/>
              <w:bottom w:val="single" w:sz="1" w:space="0" w:color="CCCCCC"/>
              <w:right w:val="single" w:sz="1" w:space="0" w:color="CCCCCC"/>
            </w:tcBorders>
            <w:shd w:val="clear" w:color="auto" w:fill="FFFFFF"/>
          </w:tcPr>
          <w:p w14:paraId="6E58D2D7" w14:textId="77777777" w:rsidR="006D4392" w:rsidRPr="00AD0FF4" w:rsidRDefault="00683A75" w:rsidP="00AD0FF4">
            <w:pPr>
              <w:spacing w:after="200" w:line="360" w:lineRule="auto"/>
              <w:jc w:val="both"/>
            </w:pPr>
            <w:r w:rsidRPr="00AD0FF4">
              <w:rPr>
                <w:rFonts w:eastAsia="Times New Roman"/>
                <w:sz w:val="18"/>
                <w:szCs w:val="18"/>
              </w:rPr>
              <w:t>N</w:t>
            </w:r>
          </w:p>
        </w:tc>
        <w:tc>
          <w:tcPr>
            <w:tcW w:w="1500" w:type="dxa"/>
            <w:tcBorders>
              <w:top w:val="single" w:sz="1" w:space="0" w:color="CCCCCC"/>
              <w:left w:val="single" w:sz="1" w:space="0" w:color="CCCCCC"/>
              <w:bottom w:val="single" w:sz="1" w:space="0" w:color="CCCCCC"/>
              <w:right w:val="single" w:sz="1" w:space="0" w:color="CCCCCC"/>
            </w:tcBorders>
            <w:shd w:val="clear" w:color="auto" w:fill="FFFFFF"/>
          </w:tcPr>
          <w:p w14:paraId="609D62C3" w14:textId="77777777" w:rsidR="006D4392" w:rsidRPr="00AD0FF4" w:rsidRDefault="00683A75" w:rsidP="00AD0FF4">
            <w:pPr>
              <w:spacing w:after="200" w:line="360" w:lineRule="auto"/>
              <w:jc w:val="both"/>
            </w:pPr>
            <w:r w:rsidRPr="00AD0FF4">
              <w:rPr>
                <w:rFonts w:eastAsia="Times New Roman"/>
                <w:sz w:val="18"/>
                <w:szCs w:val="18"/>
              </w:rPr>
              <w:t>34</w:t>
            </w:r>
          </w:p>
        </w:tc>
        <w:tc>
          <w:tcPr>
            <w:tcW w:w="1200" w:type="dxa"/>
            <w:tcBorders>
              <w:top w:val="single" w:sz="1" w:space="0" w:color="CCCCCC"/>
              <w:left w:val="single" w:sz="1" w:space="0" w:color="CCCCCC"/>
              <w:bottom w:val="single" w:sz="1" w:space="0" w:color="CCCCCC"/>
              <w:right w:val="single" w:sz="1" w:space="0" w:color="CCCCCC"/>
            </w:tcBorders>
            <w:shd w:val="clear" w:color="auto" w:fill="FFFFFF"/>
          </w:tcPr>
          <w:p w14:paraId="10E2B8F8" w14:textId="77777777" w:rsidR="006D4392" w:rsidRPr="00AD0FF4" w:rsidRDefault="006D4392" w:rsidP="00AD0FF4">
            <w:pPr>
              <w:spacing w:after="200" w:line="360" w:lineRule="auto"/>
              <w:jc w:val="both"/>
            </w:pPr>
          </w:p>
        </w:tc>
        <w:tc>
          <w:tcPr>
            <w:tcW w:w="900" w:type="dxa"/>
            <w:tcBorders>
              <w:top w:val="single" w:sz="1" w:space="0" w:color="CCCCCC"/>
              <w:left w:val="single" w:sz="1" w:space="0" w:color="CCCCCC"/>
              <w:bottom w:val="single" w:sz="1" w:space="0" w:color="CCCCCC"/>
              <w:right w:val="single" w:sz="1" w:space="0" w:color="CCCCCC"/>
            </w:tcBorders>
            <w:shd w:val="clear" w:color="auto" w:fill="FFFFFF"/>
          </w:tcPr>
          <w:p w14:paraId="64DECBAC" w14:textId="77777777" w:rsidR="006D4392" w:rsidRPr="00AD0FF4" w:rsidRDefault="006D4392" w:rsidP="00AD0FF4">
            <w:pPr>
              <w:spacing w:after="200" w:line="360" w:lineRule="auto"/>
              <w:jc w:val="both"/>
            </w:pPr>
          </w:p>
        </w:tc>
        <w:tc>
          <w:tcPr>
            <w:tcW w:w="1200" w:type="dxa"/>
            <w:tcBorders>
              <w:top w:val="single" w:sz="1" w:space="0" w:color="CCCCCC"/>
              <w:left w:val="single" w:sz="1" w:space="0" w:color="CCCCCC"/>
              <w:bottom w:val="single" w:sz="1" w:space="0" w:color="CCCCCC"/>
              <w:right w:val="single" w:sz="1" w:space="0" w:color="CCCCCC"/>
            </w:tcBorders>
            <w:shd w:val="clear" w:color="auto" w:fill="FFFFFF"/>
          </w:tcPr>
          <w:p w14:paraId="52386D8F" w14:textId="77777777" w:rsidR="006D4392" w:rsidRPr="00AD0FF4" w:rsidRDefault="006D4392" w:rsidP="00AD0FF4">
            <w:pPr>
              <w:spacing w:after="200" w:line="360" w:lineRule="auto"/>
              <w:jc w:val="both"/>
            </w:pPr>
          </w:p>
        </w:tc>
        <w:tc>
          <w:tcPr>
            <w:tcW w:w="900" w:type="dxa"/>
            <w:tcBorders>
              <w:top w:val="single" w:sz="1" w:space="0" w:color="CCCCCC"/>
              <w:left w:val="single" w:sz="1" w:space="0" w:color="CCCCCC"/>
              <w:bottom w:val="single" w:sz="1" w:space="0" w:color="CCCCCC"/>
              <w:right w:val="single" w:sz="1" w:space="0" w:color="CCCCCC"/>
            </w:tcBorders>
            <w:shd w:val="clear" w:color="auto" w:fill="FFFFFF"/>
          </w:tcPr>
          <w:p w14:paraId="59CFEC40" w14:textId="77777777" w:rsidR="006D4392" w:rsidRPr="00AD0FF4" w:rsidRDefault="006D4392" w:rsidP="00AD0FF4">
            <w:pPr>
              <w:spacing w:after="200" w:line="360" w:lineRule="auto"/>
              <w:jc w:val="both"/>
            </w:pPr>
          </w:p>
        </w:tc>
      </w:tr>
    </w:tbl>
    <w:p w14:paraId="63CC76BF" w14:textId="77777777" w:rsidR="006D4392" w:rsidRPr="00AD0FF4" w:rsidRDefault="00683A75" w:rsidP="00AD0FF4">
      <w:pPr>
        <w:spacing w:after="200" w:line="360" w:lineRule="auto"/>
        <w:jc w:val="both"/>
      </w:pPr>
      <w:r w:rsidRPr="00AD0FF4">
        <w:rPr>
          <w:rFonts w:eastAsia="Times New Roman"/>
          <w:i/>
          <w:iCs/>
          <w:sz w:val="18"/>
          <w:szCs w:val="18"/>
        </w:rPr>
        <w:t>Notes: Dependent variable: ln(Gini_market). HC1 = heteroskedasticity-robust SE. HAC = Newey-West SE (maxlags=3). *** p&lt;0.01, ** p&lt;0.05, * p&lt;0.10, ++ p&lt;0.15, n.s. = not significant.</w:t>
      </w:r>
    </w:p>
    <w:p w14:paraId="35F45E92" w14:textId="77777777" w:rsidR="006D4392" w:rsidRPr="00AD0FF4" w:rsidRDefault="006D4392" w:rsidP="00AD0FF4">
      <w:pPr>
        <w:spacing w:after="200" w:line="360" w:lineRule="auto"/>
        <w:jc w:val="both"/>
      </w:pPr>
    </w:p>
    <w:p w14:paraId="7ADCD111" w14:textId="77777777" w:rsidR="006D4392" w:rsidRPr="00AD0FF4" w:rsidRDefault="00683A75" w:rsidP="00AD0FF4">
      <w:pPr>
        <w:spacing w:after="200" w:line="360" w:lineRule="auto"/>
        <w:jc w:val="both"/>
      </w:pPr>
      <w:r w:rsidRPr="00AD0FF4">
        <w:rPr>
          <w:rFonts w:eastAsia="Times New Roman"/>
          <w:b/>
          <w:bCs/>
          <w:sz w:val="22"/>
          <w:szCs w:val="22"/>
        </w:rPr>
        <w:lastRenderedPageBreak/>
        <w:t>Table 3: Phase-Specific Total Effects (lincom, HAC SE)</w:t>
      </w:r>
    </w:p>
    <w:p w14:paraId="044D64B4" w14:textId="77777777" w:rsidR="006D4392" w:rsidRPr="00AD0FF4" w:rsidRDefault="006D4392" w:rsidP="00AD0FF4">
      <w:pPr>
        <w:spacing w:after="200" w:line="360" w:lineRule="auto"/>
        <w:jc w:val="both"/>
      </w:pPr>
    </w:p>
    <w:tbl>
      <w:tblPr>
        <w:tblW w:w="10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823"/>
        <w:gridCol w:w="1098"/>
        <w:gridCol w:w="915"/>
        <w:gridCol w:w="640"/>
        <w:gridCol w:w="915"/>
        <w:gridCol w:w="640"/>
        <w:gridCol w:w="915"/>
        <w:gridCol w:w="640"/>
        <w:gridCol w:w="915"/>
        <w:gridCol w:w="640"/>
        <w:gridCol w:w="2251"/>
      </w:tblGrid>
      <w:tr w:rsidR="006D4392" w:rsidRPr="00AD0FF4" w14:paraId="72CB57AE" w14:textId="77777777" w:rsidTr="00AD0FF4">
        <w:trPr>
          <w:trHeight w:val="220"/>
        </w:trPr>
        <w:tc>
          <w:tcPr>
            <w:tcW w:w="823" w:type="dxa"/>
            <w:tcBorders>
              <w:top w:val="single" w:sz="4" w:space="0" w:color="2E4B8F"/>
              <w:left w:val="single" w:sz="4" w:space="0" w:color="2E4B8F"/>
              <w:bottom w:val="single" w:sz="4" w:space="0" w:color="2E4B8F"/>
              <w:right w:val="single" w:sz="4" w:space="0" w:color="2E4B8F"/>
            </w:tcBorders>
            <w:shd w:val="clear" w:color="auto" w:fill="2E4B8F"/>
          </w:tcPr>
          <w:p w14:paraId="281CF3AE" w14:textId="77777777" w:rsidR="006D4392" w:rsidRPr="00AD0FF4" w:rsidRDefault="00683A75" w:rsidP="00AD0FF4">
            <w:pPr>
              <w:spacing w:after="200" w:line="360" w:lineRule="auto"/>
              <w:jc w:val="both"/>
            </w:pPr>
            <w:r w:rsidRPr="00AD0FF4">
              <w:rPr>
                <w:rFonts w:eastAsia="Times New Roman"/>
                <w:b/>
                <w:bCs/>
                <w:color w:val="FFFFFF"/>
                <w:sz w:val="18"/>
                <w:szCs w:val="18"/>
              </w:rPr>
              <w:t>Phase</w:t>
            </w:r>
          </w:p>
        </w:tc>
        <w:tc>
          <w:tcPr>
            <w:tcW w:w="1098" w:type="dxa"/>
            <w:tcBorders>
              <w:top w:val="single" w:sz="4" w:space="0" w:color="2E4B8F"/>
              <w:left w:val="single" w:sz="4" w:space="0" w:color="2E4B8F"/>
              <w:bottom w:val="single" w:sz="4" w:space="0" w:color="2E4B8F"/>
              <w:right w:val="single" w:sz="4" w:space="0" w:color="2E4B8F"/>
            </w:tcBorders>
            <w:shd w:val="clear" w:color="auto" w:fill="2E4B8F"/>
          </w:tcPr>
          <w:p w14:paraId="79BD2D14" w14:textId="77777777" w:rsidR="006D4392" w:rsidRPr="00AD0FF4" w:rsidRDefault="00683A75" w:rsidP="00AD0FF4">
            <w:pPr>
              <w:spacing w:after="200" w:line="360" w:lineRule="auto"/>
              <w:jc w:val="both"/>
            </w:pPr>
            <w:r w:rsidRPr="00AD0FF4">
              <w:rPr>
                <w:rFonts w:eastAsia="Times New Roman"/>
                <w:b/>
                <w:bCs/>
                <w:color w:val="FFFFFF"/>
                <w:sz w:val="18"/>
                <w:szCs w:val="18"/>
              </w:rPr>
              <w:t>Period</w:t>
            </w:r>
          </w:p>
        </w:tc>
        <w:tc>
          <w:tcPr>
            <w:tcW w:w="915" w:type="dxa"/>
            <w:tcBorders>
              <w:top w:val="single" w:sz="4" w:space="0" w:color="2E4B8F"/>
              <w:left w:val="single" w:sz="4" w:space="0" w:color="2E4B8F"/>
              <w:bottom w:val="single" w:sz="4" w:space="0" w:color="2E4B8F"/>
              <w:right w:val="single" w:sz="4" w:space="0" w:color="2E4B8F"/>
            </w:tcBorders>
            <w:shd w:val="clear" w:color="auto" w:fill="2E4B8F"/>
          </w:tcPr>
          <w:p w14:paraId="6977546B" w14:textId="77777777" w:rsidR="006D4392" w:rsidRPr="00AD0FF4" w:rsidRDefault="00683A75" w:rsidP="00AD0FF4">
            <w:pPr>
              <w:spacing w:after="200" w:line="360" w:lineRule="auto"/>
              <w:jc w:val="both"/>
            </w:pPr>
            <w:r w:rsidRPr="00AD0FF4">
              <w:rPr>
                <w:rFonts w:eastAsia="Times New Roman"/>
                <w:b/>
                <w:bCs/>
                <w:color w:val="FFFFFF"/>
                <w:sz w:val="18"/>
                <w:szCs w:val="18"/>
              </w:rPr>
              <w:t>CA→GDP</w:t>
            </w:r>
          </w:p>
        </w:tc>
        <w:tc>
          <w:tcPr>
            <w:tcW w:w="640" w:type="dxa"/>
            <w:tcBorders>
              <w:top w:val="single" w:sz="4" w:space="0" w:color="2E4B8F"/>
              <w:left w:val="single" w:sz="4" w:space="0" w:color="2E4B8F"/>
              <w:bottom w:val="single" w:sz="4" w:space="0" w:color="2E4B8F"/>
              <w:right w:val="single" w:sz="4" w:space="0" w:color="2E4B8F"/>
            </w:tcBorders>
            <w:shd w:val="clear" w:color="auto" w:fill="2E4B8F"/>
          </w:tcPr>
          <w:p w14:paraId="21EE8C54" w14:textId="77777777" w:rsidR="006D4392" w:rsidRPr="00AD0FF4" w:rsidRDefault="00683A75" w:rsidP="00AD0FF4">
            <w:pPr>
              <w:spacing w:after="200" w:line="360" w:lineRule="auto"/>
              <w:jc w:val="both"/>
            </w:pPr>
            <w:r w:rsidRPr="00AD0FF4">
              <w:rPr>
                <w:rFonts w:eastAsia="Times New Roman"/>
                <w:b/>
                <w:bCs/>
                <w:color w:val="FFFFFF"/>
                <w:sz w:val="18"/>
                <w:szCs w:val="18"/>
              </w:rPr>
              <w:t>Sig.</w:t>
            </w:r>
          </w:p>
        </w:tc>
        <w:tc>
          <w:tcPr>
            <w:tcW w:w="915" w:type="dxa"/>
            <w:tcBorders>
              <w:top w:val="single" w:sz="4" w:space="0" w:color="2E4B8F"/>
              <w:left w:val="single" w:sz="4" w:space="0" w:color="2E4B8F"/>
              <w:bottom w:val="single" w:sz="4" w:space="0" w:color="2E4B8F"/>
              <w:right w:val="single" w:sz="4" w:space="0" w:color="2E4B8F"/>
            </w:tcBorders>
            <w:shd w:val="clear" w:color="auto" w:fill="2E4B8F"/>
          </w:tcPr>
          <w:p w14:paraId="578A24DE" w14:textId="77777777" w:rsidR="006D4392" w:rsidRPr="00AD0FF4" w:rsidRDefault="00683A75" w:rsidP="00AD0FF4">
            <w:pPr>
              <w:spacing w:after="200" w:line="360" w:lineRule="auto"/>
              <w:jc w:val="both"/>
            </w:pPr>
            <w:r w:rsidRPr="00AD0FF4">
              <w:rPr>
                <w:rFonts w:eastAsia="Times New Roman"/>
                <w:b/>
                <w:bCs/>
                <w:color w:val="FFFFFF"/>
                <w:sz w:val="18"/>
                <w:szCs w:val="18"/>
              </w:rPr>
              <w:t>CA→Gini</w:t>
            </w:r>
          </w:p>
        </w:tc>
        <w:tc>
          <w:tcPr>
            <w:tcW w:w="640" w:type="dxa"/>
            <w:tcBorders>
              <w:top w:val="single" w:sz="4" w:space="0" w:color="2E4B8F"/>
              <w:left w:val="single" w:sz="4" w:space="0" w:color="2E4B8F"/>
              <w:bottom w:val="single" w:sz="4" w:space="0" w:color="2E4B8F"/>
              <w:right w:val="single" w:sz="4" w:space="0" w:color="2E4B8F"/>
            </w:tcBorders>
            <w:shd w:val="clear" w:color="auto" w:fill="2E4B8F"/>
          </w:tcPr>
          <w:p w14:paraId="69B534E2" w14:textId="77777777" w:rsidR="006D4392" w:rsidRPr="00AD0FF4" w:rsidRDefault="00683A75" w:rsidP="00AD0FF4">
            <w:pPr>
              <w:spacing w:after="200" w:line="360" w:lineRule="auto"/>
              <w:jc w:val="both"/>
            </w:pPr>
            <w:r w:rsidRPr="00AD0FF4">
              <w:rPr>
                <w:rFonts w:eastAsia="Times New Roman"/>
                <w:b/>
                <w:bCs/>
                <w:color w:val="FFFFFF"/>
                <w:sz w:val="18"/>
                <w:szCs w:val="18"/>
              </w:rPr>
              <w:t>Sig.</w:t>
            </w:r>
          </w:p>
        </w:tc>
        <w:tc>
          <w:tcPr>
            <w:tcW w:w="915" w:type="dxa"/>
            <w:tcBorders>
              <w:top w:val="single" w:sz="4" w:space="0" w:color="2E4B8F"/>
              <w:left w:val="single" w:sz="4" w:space="0" w:color="2E4B8F"/>
              <w:bottom w:val="single" w:sz="4" w:space="0" w:color="2E4B8F"/>
              <w:right w:val="single" w:sz="4" w:space="0" w:color="2E4B8F"/>
            </w:tcBorders>
            <w:shd w:val="clear" w:color="auto" w:fill="2E4B8F"/>
          </w:tcPr>
          <w:p w14:paraId="67BAB2F1" w14:textId="77777777" w:rsidR="006D4392" w:rsidRPr="00AD0FF4" w:rsidRDefault="00683A75" w:rsidP="00AD0FF4">
            <w:pPr>
              <w:spacing w:after="200" w:line="360" w:lineRule="auto"/>
              <w:jc w:val="both"/>
            </w:pPr>
            <w:r w:rsidRPr="00AD0FF4">
              <w:rPr>
                <w:rFonts w:eastAsia="Times New Roman"/>
                <w:b/>
                <w:bCs/>
                <w:color w:val="FFFFFF"/>
                <w:sz w:val="18"/>
                <w:szCs w:val="18"/>
              </w:rPr>
              <w:t>EE→GDP</w:t>
            </w:r>
          </w:p>
        </w:tc>
        <w:tc>
          <w:tcPr>
            <w:tcW w:w="640" w:type="dxa"/>
            <w:tcBorders>
              <w:top w:val="single" w:sz="4" w:space="0" w:color="2E4B8F"/>
              <w:left w:val="single" w:sz="4" w:space="0" w:color="2E4B8F"/>
              <w:bottom w:val="single" w:sz="4" w:space="0" w:color="2E4B8F"/>
              <w:right w:val="single" w:sz="4" w:space="0" w:color="2E4B8F"/>
            </w:tcBorders>
            <w:shd w:val="clear" w:color="auto" w:fill="2E4B8F"/>
          </w:tcPr>
          <w:p w14:paraId="006FB686" w14:textId="77777777" w:rsidR="006D4392" w:rsidRPr="00AD0FF4" w:rsidRDefault="00683A75" w:rsidP="00AD0FF4">
            <w:pPr>
              <w:spacing w:after="200" w:line="360" w:lineRule="auto"/>
              <w:jc w:val="both"/>
            </w:pPr>
            <w:r w:rsidRPr="00AD0FF4">
              <w:rPr>
                <w:rFonts w:eastAsia="Times New Roman"/>
                <w:b/>
                <w:bCs/>
                <w:color w:val="FFFFFF"/>
                <w:sz w:val="18"/>
                <w:szCs w:val="18"/>
              </w:rPr>
              <w:t>Sig.</w:t>
            </w:r>
          </w:p>
        </w:tc>
        <w:tc>
          <w:tcPr>
            <w:tcW w:w="915" w:type="dxa"/>
            <w:tcBorders>
              <w:top w:val="single" w:sz="4" w:space="0" w:color="2E4B8F"/>
              <w:left w:val="single" w:sz="4" w:space="0" w:color="2E4B8F"/>
              <w:bottom w:val="single" w:sz="4" w:space="0" w:color="2E4B8F"/>
              <w:right w:val="single" w:sz="4" w:space="0" w:color="2E4B8F"/>
            </w:tcBorders>
            <w:shd w:val="clear" w:color="auto" w:fill="2E4B8F"/>
          </w:tcPr>
          <w:p w14:paraId="58B9E687" w14:textId="77777777" w:rsidR="006D4392" w:rsidRPr="00AD0FF4" w:rsidRDefault="00683A75" w:rsidP="00AD0FF4">
            <w:pPr>
              <w:spacing w:after="200" w:line="360" w:lineRule="auto"/>
              <w:jc w:val="both"/>
            </w:pPr>
            <w:r w:rsidRPr="00AD0FF4">
              <w:rPr>
                <w:rFonts w:eastAsia="Times New Roman"/>
                <w:b/>
                <w:bCs/>
                <w:color w:val="FFFFFF"/>
                <w:sz w:val="18"/>
                <w:szCs w:val="18"/>
              </w:rPr>
              <w:t>EE→Gini</w:t>
            </w:r>
          </w:p>
        </w:tc>
        <w:tc>
          <w:tcPr>
            <w:tcW w:w="640" w:type="dxa"/>
            <w:tcBorders>
              <w:top w:val="single" w:sz="4" w:space="0" w:color="2E4B8F"/>
              <w:left w:val="single" w:sz="4" w:space="0" w:color="2E4B8F"/>
              <w:bottom w:val="single" w:sz="4" w:space="0" w:color="2E4B8F"/>
              <w:right w:val="single" w:sz="4" w:space="0" w:color="2E4B8F"/>
            </w:tcBorders>
            <w:shd w:val="clear" w:color="auto" w:fill="2E4B8F"/>
          </w:tcPr>
          <w:p w14:paraId="6ECDBD8E" w14:textId="77777777" w:rsidR="006D4392" w:rsidRPr="00AD0FF4" w:rsidRDefault="00683A75" w:rsidP="00AD0FF4">
            <w:pPr>
              <w:spacing w:after="200" w:line="360" w:lineRule="auto"/>
              <w:jc w:val="both"/>
            </w:pPr>
            <w:r w:rsidRPr="00AD0FF4">
              <w:rPr>
                <w:rFonts w:eastAsia="Times New Roman"/>
                <w:b/>
                <w:bCs/>
                <w:color w:val="FFFFFF"/>
                <w:sz w:val="18"/>
                <w:szCs w:val="18"/>
              </w:rPr>
              <w:t>Sig.</w:t>
            </w:r>
          </w:p>
        </w:tc>
        <w:tc>
          <w:tcPr>
            <w:tcW w:w="2251" w:type="dxa"/>
            <w:tcBorders>
              <w:top w:val="single" w:sz="4" w:space="0" w:color="2E4B8F"/>
              <w:left w:val="single" w:sz="4" w:space="0" w:color="2E4B8F"/>
              <w:bottom w:val="single" w:sz="4" w:space="0" w:color="2E4B8F"/>
              <w:right w:val="single" w:sz="4" w:space="0" w:color="2E4B8F"/>
            </w:tcBorders>
            <w:shd w:val="clear" w:color="auto" w:fill="2E4B8F"/>
          </w:tcPr>
          <w:p w14:paraId="65EDE732" w14:textId="77777777" w:rsidR="006D4392" w:rsidRPr="00AD0FF4" w:rsidRDefault="00683A75" w:rsidP="00AD0FF4">
            <w:pPr>
              <w:spacing w:after="200" w:line="360" w:lineRule="auto"/>
              <w:jc w:val="both"/>
            </w:pPr>
            <w:r w:rsidRPr="00AD0FF4">
              <w:rPr>
                <w:rFonts w:eastAsia="Times New Roman"/>
                <w:b/>
                <w:bCs/>
                <w:color w:val="FFFFFF"/>
                <w:sz w:val="18"/>
                <w:szCs w:val="18"/>
              </w:rPr>
              <w:t>GTED Assessment</w:t>
            </w:r>
          </w:p>
        </w:tc>
      </w:tr>
      <w:tr w:rsidR="006D4392" w:rsidRPr="00AD0FF4" w14:paraId="2F0164F3" w14:textId="77777777" w:rsidTr="00AD0FF4">
        <w:trPr>
          <w:trHeight w:val="664"/>
        </w:trPr>
        <w:tc>
          <w:tcPr>
            <w:tcW w:w="823" w:type="dxa"/>
            <w:tcBorders>
              <w:top w:val="single" w:sz="1" w:space="0" w:color="CCCCCC"/>
              <w:left w:val="single" w:sz="1" w:space="0" w:color="CCCCCC"/>
              <w:bottom w:val="single" w:sz="1" w:space="0" w:color="CCCCCC"/>
              <w:right w:val="single" w:sz="1" w:space="0" w:color="CCCCCC"/>
            </w:tcBorders>
            <w:shd w:val="clear" w:color="auto" w:fill="F5F7FA"/>
          </w:tcPr>
          <w:p w14:paraId="7DEFAB56" w14:textId="77777777" w:rsidR="006D4392" w:rsidRPr="00AD0FF4" w:rsidRDefault="00683A75" w:rsidP="00AD0FF4">
            <w:pPr>
              <w:spacing w:after="200" w:line="360" w:lineRule="auto"/>
              <w:jc w:val="both"/>
            </w:pPr>
            <w:r w:rsidRPr="00AD0FF4">
              <w:rPr>
                <w:rFonts w:eastAsia="Times New Roman"/>
                <w:sz w:val="18"/>
                <w:szCs w:val="18"/>
              </w:rPr>
              <w:t>Phase 1</w:t>
            </w:r>
          </w:p>
        </w:tc>
        <w:tc>
          <w:tcPr>
            <w:tcW w:w="1098" w:type="dxa"/>
            <w:tcBorders>
              <w:top w:val="single" w:sz="1" w:space="0" w:color="CCCCCC"/>
              <w:left w:val="single" w:sz="1" w:space="0" w:color="CCCCCC"/>
              <w:bottom w:val="single" w:sz="1" w:space="0" w:color="CCCCCC"/>
              <w:right w:val="single" w:sz="1" w:space="0" w:color="CCCCCC"/>
            </w:tcBorders>
            <w:shd w:val="clear" w:color="auto" w:fill="F5F7FA"/>
          </w:tcPr>
          <w:p w14:paraId="6E8D0FA1" w14:textId="77777777" w:rsidR="006D4392" w:rsidRPr="00AD0FF4" w:rsidRDefault="00683A75" w:rsidP="00AD0FF4">
            <w:pPr>
              <w:spacing w:after="200" w:line="360" w:lineRule="auto"/>
              <w:jc w:val="both"/>
            </w:pPr>
            <w:r w:rsidRPr="00AD0FF4">
              <w:rPr>
                <w:rFonts w:eastAsia="Times New Roman"/>
                <w:sz w:val="18"/>
                <w:szCs w:val="18"/>
              </w:rPr>
              <w:t>1988–91</w:t>
            </w:r>
          </w:p>
        </w:tc>
        <w:tc>
          <w:tcPr>
            <w:tcW w:w="915" w:type="dxa"/>
            <w:tcBorders>
              <w:top w:val="single" w:sz="1" w:space="0" w:color="CCCCCC"/>
              <w:left w:val="single" w:sz="1" w:space="0" w:color="CCCCCC"/>
              <w:bottom w:val="single" w:sz="1" w:space="0" w:color="CCCCCC"/>
              <w:right w:val="single" w:sz="1" w:space="0" w:color="CCCCCC"/>
            </w:tcBorders>
            <w:shd w:val="clear" w:color="auto" w:fill="F5F7FA"/>
          </w:tcPr>
          <w:p w14:paraId="349D8A67" w14:textId="77777777" w:rsidR="006D4392" w:rsidRPr="00AD0FF4" w:rsidRDefault="00683A75" w:rsidP="00AD0FF4">
            <w:pPr>
              <w:spacing w:after="200" w:line="360" w:lineRule="auto"/>
              <w:jc w:val="both"/>
            </w:pPr>
            <w:r w:rsidRPr="00AD0FF4">
              <w:rPr>
                <w:rFonts w:eastAsia="Times New Roman"/>
                <w:sz w:val="18"/>
                <w:szCs w:val="18"/>
              </w:rPr>
              <w:t>0.2293</w:t>
            </w:r>
          </w:p>
        </w:tc>
        <w:tc>
          <w:tcPr>
            <w:tcW w:w="640" w:type="dxa"/>
            <w:tcBorders>
              <w:top w:val="single" w:sz="1" w:space="0" w:color="CCCCCC"/>
              <w:left w:val="single" w:sz="1" w:space="0" w:color="CCCCCC"/>
              <w:bottom w:val="single" w:sz="1" w:space="0" w:color="CCCCCC"/>
              <w:right w:val="single" w:sz="1" w:space="0" w:color="CCCCCC"/>
            </w:tcBorders>
            <w:shd w:val="clear" w:color="auto" w:fill="F5F7FA"/>
          </w:tcPr>
          <w:p w14:paraId="1AD34F16" w14:textId="77777777" w:rsidR="006D4392" w:rsidRPr="00AD0FF4" w:rsidRDefault="00683A75" w:rsidP="00AD0FF4">
            <w:pPr>
              <w:spacing w:after="200" w:line="360" w:lineRule="auto"/>
              <w:jc w:val="both"/>
            </w:pPr>
            <w:r w:rsidRPr="00AD0FF4">
              <w:rPr>
                <w:rFonts w:eastAsia="Times New Roman"/>
                <w:sz w:val="18"/>
                <w:szCs w:val="18"/>
              </w:rPr>
              <w:t>***</w:t>
            </w:r>
          </w:p>
        </w:tc>
        <w:tc>
          <w:tcPr>
            <w:tcW w:w="915" w:type="dxa"/>
            <w:tcBorders>
              <w:top w:val="single" w:sz="1" w:space="0" w:color="CCCCCC"/>
              <w:left w:val="single" w:sz="1" w:space="0" w:color="CCCCCC"/>
              <w:bottom w:val="single" w:sz="1" w:space="0" w:color="CCCCCC"/>
              <w:right w:val="single" w:sz="1" w:space="0" w:color="CCCCCC"/>
            </w:tcBorders>
            <w:shd w:val="clear" w:color="auto" w:fill="F5F7FA"/>
          </w:tcPr>
          <w:p w14:paraId="378DC547" w14:textId="77777777" w:rsidR="006D4392" w:rsidRPr="00AD0FF4" w:rsidRDefault="00683A75" w:rsidP="00AD0FF4">
            <w:pPr>
              <w:spacing w:after="200" w:line="360" w:lineRule="auto"/>
              <w:jc w:val="both"/>
            </w:pPr>
            <w:r w:rsidRPr="00AD0FF4">
              <w:rPr>
                <w:rFonts w:eastAsia="Times New Roman"/>
                <w:sz w:val="18"/>
                <w:szCs w:val="18"/>
              </w:rPr>
              <w:t>0.0104</w:t>
            </w:r>
          </w:p>
        </w:tc>
        <w:tc>
          <w:tcPr>
            <w:tcW w:w="640" w:type="dxa"/>
            <w:tcBorders>
              <w:top w:val="single" w:sz="1" w:space="0" w:color="CCCCCC"/>
              <w:left w:val="single" w:sz="1" w:space="0" w:color="CCCCCC"/>
              <w:bottom w:val="single" w:sz="1" w:space="0" w:color="CCCCCC"/>
              <w:right w:val="single" w:sz="1" w:space="0" w:color="CCCCCC"/>
            </w:tcBorders>
            <w:shd w:val="clear" w:color="auto" w:fill="F5F7FA"/>
          </w:tcPr>
          <w:p w14:paraId="54D5F6CE" w14:textId="77777777" w:rsidR="006D4392" w:rsidRPr="00AD0FF4" w:rsidRDefault="00683A75" w:rsidP="00AD0FF4">
            <w:pPr>
              <w:spacing w:after="200" w:line="360" w:lineRule="auto"/>
              <w:jc w:val="both"/>
            </w:pPr>
            <w:r w:rsidRPr="00AD0FF4">
              <w:rPr>
                <w:rFonts w:eastAsia="Times New Roman"/>
                <w:sz w:val="18"/>
                <w:szCs w:val="18"/>
              </w:rPr>
              <w:t>***</w:t>
            </w:r>
          </w:p>
        </w:tc>
        <w:tc>
          <w:tcPr>
            <w:tcW w:w="915" w:type="dxa"/>
            <w:tcBorders>
              <w:top w:val="single" w:sz="1" w:space="0" w:color="CCCCCC"/>
              <w:left w:val="single" w:sz="1" w:space="0" w:color="CCCCCC"/>
              <w:bottom w:val="single" w:sz="1" w:space="0" w:color="CCCCCC"/>
              <w:right w:val="single" w:sz="1" w:space="0" w:color="CCCCCC"/>
            </w:tcBorders>
            <w:shd w:val="clear" w:color="auto" w:fill="F5F7FA"/>
          </w:tcPr>
          <w:p w14:paraId="2F6A17A6" w14:textId="77777777" w:rsidR="006D4392" w:rsidRPr="00AD0FF4" w:rsidRDefault="00683A75" w:rsidP="00AD0FF4">
            <w:pPr>
              <w:spacing w:after="200" w:line="360" w:lineRule="auto"/>
              <w:jc w:val="both"/>
            </w:pPr>
            <w:r w:rsidRPr="00AD0FF4">
              <w:rPr>
                <w:rFonts w:eastAsia="Times New Roman"/>
                <w:sz w:val="18"/>
                <w:szCs w:val="18"/>
              </w:rPr>
              <w:t>−1.6952</w:t>
            </w:r>
          </w:p>
        </w:tc>
        <w:tc>
          <w:tcPr>
            <w:tcW w:w="640" w:type="dxa"/>
            <w:tcBorders>
              <w:top w:val="single" w:sz="1" w:space="0" w:color="CCCCCC"/>
              <w:left w:val="single" w:sz="1" w:space="0" w:color="CCCCCC"/>
              <w:bottom w:val="single" w:sz="1" w:space="0" w:color="CCCCCC"/>
              <w:right w:val="single" w:sz="1" w:space="0" w:color="CCCCCC"/>
            </w:tcBorders>
            <w:shd w:val="clear" w:color="auto" w:fill="F5F7FA"/>
          </w:tcPr>
          <w:p w14:paraId="141A1AD7" w14:textId="77777777" w:rsidR="006D4392" w:rsidRPr="00AD0FF4" w:rsidRDefault="00683A75" w:rsidP="00AD0FF4">
            <w:pPr>
              <w:spacing w:after="200" w:line="360" w:lineRule="auto"/>
              <w:jc w:val="both"/>
            </w:pPr>
            <w:r w:rsidRPr="00AD0FF4">
              <w:rPr>
                <w:rFonts w:eastAsia="Times New Roman"/>
                <w:sz w:val="18"/>
                <w:szCs w:val="18"/>
              </w:rPr>
              <w:t>n.s.</w:t>
            </w:r>
          </w:p>
        </w:tc>
        <w:tc>
          <w:tcPr>
            <w:tcW w:w="915" w:type="dxa"/>
            <w:tcBorders>
              <w:top w:val="single" w:sz="1" w:space="0" w:color="CCCCCC"/>
              <w:left w:val="single" w:sz="1" w:space="0" w:color="CCCCCC"/>
              <w:bottom w:val="single" w:sz="1" w:space="0" w:color="CCCCCC"/>
              <w:right w:val="single" w:sz="1" w:space="0" w:color="CCCCCC"/>
            </w:tcBorders>
            <w:shd w:val="clear" w:color="auto" w:fill="F5F7FA"/>
          </w:tcPr>
          <w:p w14:paraId="48847449" w14:textId="77777777" w:rsidR="006D4392" w:rsidRPr="00AD0FF4" w:rsidRDefault="00683A75" w:rsidP="00AD0FF4">
            <w:pPr>
              <w:spacing w:after="200" w:line="360" w:lineRule="auto"/>
              <w:jc w:val="both"/>
            </w:pPr>
            <w:r w:rsidRPr="00AD0FF4">
              <w:rPr>
                <w:rFonts w:eastAsia="Times New Roman"/>
                <w:sz w:val="18"/>
                <w:szCs w:val="18"/>
              </w:rPr>
              <w:t>0.7086</w:t>
            </w:r>
          </w:p>
        </w:tc>
        <w:tc>
          <w:tcPr>
            <w:tcW w:w="640" w:type="dxa"/>
            <w:tcBorders>
              <w:top w:val="single" w:sz="1" w:space="0" w:color="CCCCCC"/>
              <w:left w:val="single" w:sz="1" w:space="0" w:color="CCCCCC"/>
              <w:bottom w:val="single" w:sz="1" w:space="0" w:color="CCCCCC"/>
              <w:right w:val="single" w:sz="1" w:space="0" w:color="CCCCCC"/>
            </w:tcBorders>
            <w:shd w:val="clear" w:color="auto" w:fill="F5F7FA"/>
          </w:tcPr>
          <w:p w14:paraId="1C6DE79E" w14:textId="77777777" w:rsidR="006D4392" w:rsidRPr="00AD0FF4" w:rsidRDefault="00683A75" w:rsidP="00AD0FF4">
            <w:pPr>
              <w:spacing w:after="200" w:line="360" w:lineRule="auto"/>
              <w:jc w:val="both"/>
            </w:pPr>
            <w:r w:rsidRPr="00AD0FF4">
              <w:rPr>
                <w:rFonts w:eastAsia="Times New Roman"/>
                <w:sz w:val="18"/>
                <w:szCs w:val="18"/>
              </w:rPr>
              <w:t>***</w:t>
            </w:r>
          </w:p>
        </w:tc>
        <w:tc>
          <w:tcPr>
            <w:tcW w:w="2251" w:type="dxa"/>
            <w:tcBorders>
              <w:top w:val="single" w:sz="1" w:space="0" w:color="CCCCCC"/>
              <w:left w:val="single" w:sz="1" w:space="0" w:color="CCCCCC"/>
              <w:bottom w:val="single" w:sz="1" w:space="0" w:color="CCCCCC"/>
              <w:right w:val="single" w:sz="1" w:space="0" w:color="CCCCCC"/>
            </w:tcBorders>
            <w:shd w:val="clear" w:color="auto" w:fill="F5F7FA"/>
          </w:tcPr>
          <w:p w14:paraId="3F5B5CBC" w14:textId="77777777" w:rsidR="006D4392" w:rsidRPr="00AD0FF4" w:rsidRDefault="00683A75" w:rsidP="00AD0FF4">
            <w:pPr>
              <w:spacing w:after="200" w:line="360" w:lineRule="auto"/>
              <w:jc w:val="both"/>
            </w:pPr>
            <w:r w:rsidRPr="00AD0FF4">
              <w:rPr>
                <w:rFonts w:eastAsia="Times New Roman"/>
                <w:sz w:val="18"/>
                <w:szCs w:val="18"/>
              </w:rPr>
              <w:t>ED heritage; CA drives growth; CA widens inequality (differentiation phase)</w:t>
            </w:r>
          </w:p>
        </w:tc>
      </w:tr>
      <w:tr w:rsidR="006D4392" w:rsidRPr="00AD0FF4" w14:paraId="77454E33" w14:textId="77777777" w:rsidTr="00AD0FF4">
        <w:trPr>
          <w:trHeight w:val="699"/>
        </w:trPr>
        <w:tc>
          <w:tcPr>
            <w:tcW w:w="823" w:type="dxa"/>
            <w:tcBorders>
              <w:top w:val="single" w:sz="1" w:space="0" w:color="CCCCCC"/>
              <w:left w:val="single" w:sz="1" w:space="0" w:color="CCCCCC"/>
              <w:bottom w:val="single" w:sz="1" w:space="0" w:color="CCCCCC"/>
              <w:right w:val="single" w:sz="1" w:space="0" w:color="CCCCCC"/>
            </w:tcBorders>
            <w:shd w:val="clear" w:color="auto" w:fill="FFFFFF"/>
          </w:tcPr>
          <w:p w14:paraId="638A9125" w14:textId="77777777" w:rsidR="006D4392" w:rsidRPr="00AD0FF4" w:rsidRDefault="00683A75" w:rsidP="00AD0FF4">
            <w:pPr>
              <w:spacing w:after="200" w:line="360" w:lineRule="auto"/>
              <w:jc w:val="both"/>
            </w:pPr>
            <w:r w:rsidRPr="00AD0FF4">
              <w:rPr>
                <w:rFonts w:eastAsia="Times New Roman"/>
                <w:sz w:val="18"/>
                <w:szCs w:val="18"/>
              </w:rPr>
              <w:t>Phase 2</w:t>
            </w:r>
          </w:p>
        </w:tc>
        <w:tc>
          <w:tcPr>
            <w:tcW w:w="1098" w:type="dxa"/>
            <w:tcBorders>
              <w:top w:val="single" w:sz="1" w:space="0" w:color="CCCCCC"/>
              <w:left w:val="single" w:sz="1" w:space="0" w:color="CCCCCC"/>
              <w:bottom w:val="single" w:sz="1" w:space="0" w:color="CCCCCC"/>
              <w:right w:val="single" w:sz="1" w:space="0" w:color="CCCCCC"/>
            </w:tcBorders>
            <w:shd w:val="clear" w:color="auto" w:fill="FFFFFF"/>
          </w:tcPr>
          <w:p w14:paraId="55EF3499" w14:textId="77777777" w:rsidR="006D4392" w:rsidRPr="00AD0FF4" w:rsidRDefault="00683A75" w:rsidP="00AD0FF4">
            <w:pPr>
              <w:spacing w:after="200" w:line="360" w:lineRule="auto"/>
              <w:jc w:val="both"/>
            </w:pPr>
            <w:r w:rsidRPr="00AD0FF4">
              <w:rPr>
                <w:rFonts w:eastAsia="Times New Roman"/>
                <w:sz w:val="18"/>
                <w:szCs w:val="18"/>
              </w:rPr>
              <w:t>1992–2012</w:t>
            </w:r>
          </w:p>
        </w:tc>
        <w:tc>
          <w:tcPr>
            <w:tcW w:w="915" w:type="dxa"/>
            <w:tcBorders>
              <w:top w:val="single" w:sz="1" w:space="0" w:color="CCCCCC"/>
              <w:left w:val="single" w:sz="1" w:space="0" w:color="CCCCCC"/>
              <w:bottom w:val="single" w:sz="1" w:space="0" w:color="CCCCCC"/>
              <w:right w:val="single" w:sz="1" w:space="0" w:color="CCCCCC"/>
            </w:tcBorders>
            <w:shd w:val="clear" w:color="auto" w:fill="FFFFFF"/>
          </w:tcPr>
          <w:p w14:paraId="54C1AA99" w14:textId="77777777" w:rsidR="006D4392" w:rsidRPr="00AD0FF4" w:rsidRDefault="00683A75" w:rsidP="00AD0FF4">
            <w:pPr>
              <w:spacing w:after="200" w:line="360" w:lineRule="auto"/>
              <w:jc w:val="both"/>
            </w:pPr>
            <w:r w:rsidRPr="00AD0FF4">
              <w:rPr>
                <w:rFonts w:eastAsia="Times New Roman"/>
                <w:sz w:val="18"/>
                <w:szCs w:val="18"/>
              </w:rPr>
              <w:t>0.0180</w:t>
            </w:r>
          </w:p>
        </w:tc>
        <w:tc>
          <w:tcPr>
            <w:tcW w:w="640" w:type="dxa"/>
            <w:tcBorders>
              <w:top w:val="single" w:sz="1" w:space="0" w:color="CCCCCC"/>
              <w:left w:val="single" w:sz="1" w:space="0" w:color="CCCCCC"/>
              <w:bottom w:val="single" w:sz="1" w:space="0" w:color="CCCCCC"/>
              <w:right w:val="single" w:sz="1" w:space="0" w:color="CCCCCC"/>
            </w:tcBorders>
            <w:shd w:val="clear" w:color="auto" w:fill="FFFFFF"/>
          </w:tcPr>
          <w:p w14:paraId="24BA8155" w14:textId="77777777" w:rsidR="006D4392" w:rsidRPr="00AD0FF4" w:rsidRDefault="00683A75" w:rsidP="00AD0FF4">
            <w:pPr>
              <w:spacing w:after="200" w:line="360" w:lineRule="auto"/>
              <w:jc w:val="both"/>
            </w:pPr>
            <w:r w:rsidRPr="00AD0FF4">
              <w:rPr>
                <w:rFonts w:eastAsia="Times New Roman"/>
                <w:sz w:val="18"/>
                <w:szCs w:val="18"/>
              </w:rPr>
              <w:t>n.s.</w:t>
            </w:r>
          </w:p>
        </w:tc>
        <w:tc>
          <w:tcPr>
            <w:tcW w:w="915" w:type="dxa"/>
            <w:tcBorders>
              <w:top w:val="single" w:sz="1" w:space="0" w:color="CCCCCC"/>
              <w:left w:val="single" w:sz="1" w:space="0" w:color="CCCCCC"/>
              <w:bottom w:val="single" w:sz="1" w:space="0" w:color="CCCCCC"/>
              <w:right w:val="single" w:sz="1" w:space="0" w:color="CCCCCC"/>
            </w:tcBorders>
            <w:shd w:val="clear" w:color="auto" w:fill="FFFFFF"/>
          </w:tcPr>
          <w:p w14:paraId="220053E0" w14:textId="77777777" w:rsidR="006D4392" w:rsidRPr="00AD0FF4" w:rsidRDefault="00683A75" w:rsidP="00AD0FF4">
            <w:pPr>
              <w:spacing w:after="200" w:line="360" w:lineRule="auto"/>
              <w:jc w:val="both"/>
            </w:pPr>
            <w:r w:rsidRPr="00AD0FF4">
              <w:rPr>
                <w:rFonts w:eastAsia="Times New Roman"/>
                <w:sz w:val="18"/>
                <w:szCs w:val="18"/>
              </w:rPr>
              <w:t>0.0054</w:t>
            </w:r>
          </w:p>
        </w:tc>
        <w:tc>
          <w:tcPr>
            <w:tcW w:w="640" w:type="dxa"/>
            <w:tcBorders>
              <w:top w:val="single" w:sz="1" w:space="0" w:color="CCCCCC"/>
              <w:left w:val="single" w:sz="1" w:space="0" w:color="CCCCCC"/>
              <w:bottom w:val="single" w:sz="1" w:space="0" w:color="CCCCCC"/>
              <w:right w:val="single" w:sz="1" w:space="0" w:color="CCCCCC"/>
            </w:tcBorders>
            <w:shd w:val="clear" w:color="auto" w:fill="FFFFFF"/>
          </w:tcPr>
          <w:p w14:paraId="019E827C" w14:textId="77777777" w:rsidR="006D4392" w:rsidRPr="00AD0FF4" w:rsidRDefault="00683A75" w:rsidP="00AD0FF4">
            <w:pPr>
              <w:spacing w:after="200" w:line="360" w:lineRule="auto"/>
              <w:jc w:val="both"/>
            </w:pPr>
            <w:r w:rsidRPr="00AD0FF4">
              <w:rPr>
                <w:rFonts w:eastAsia="Times New Roman"/>
                <w:sz w:val="18"/>
                <w:szCs w:val="18"/>
              </w:rPr>
              <w:t>n.s.</w:t>
            </w:r>
          </w:p>
        </w:tc>
        <w:tc>
          <w:tcPr>
            <w:tcW w:w="915" w:type="dxa"/>
            <w:tcBorders>
              <w:top w:val="single" w:sz="1" w:space="0" w:color="CCCCCC"/>
              <w:left w:val="single" w:sz="1" w:space="0" w:color="CCCCCC"/>
              <w:bottom w:val="single" w:sz="1" w:space="0" w:color="CCCCCC"/>
              <w:right w:val="single" w:sz="1" w:space="0" w:color="CCCCCC"/>
            </w:tcBorders>
            <w:shd w:val="clear" w:color="auto" w:fill="FFFFFF"/>
          </w:tcPr>
          <w:p w14:paraId="390074D0" w14:textId="77777777" w:rsidR="006D4392" w:rsidRPr="00AD0FF4" w:rsidRDefault="00683A75" w:rsidP="00AD0FF4">
            <w:pPr>
              <w:spacing w:after="200" w:line="360" w:lineRule="auto"/>
              <w:jc w:val="both"/>
            </w:pPr>
            <w:r w:rsidRPr="00AD0FF4">
              <w:rPr>
                <w:rFonts w:eastAsia="Times New Roman"/>
                <w:sz w:val="18"/>
                <w:szCs w:val="18"/>
              </w:rPr>
              <w:t>0.6991</w:t>
            </w:r>
          </w:p>
        </w:tc>
        <w:tc>
          <w:tcPr>
            <w:tcW w:w="640" w:type="dxa"/>
            <w:tcBorders>
              <w:top w:val="single" w:sz="1" w:space="0" w:color="CCCCCC"/>
              <w:left w:val="single" w:sz="1" w:space="0" w:color="CCCCCC"/>
              <w:bottom w:val="single" w:sz="1" w:space="0" w:color="CCCCCC"/>
              <w:right w:val="single" w:sz="1" w:space="0" w:color="CCCCCC"/>
            </w:tcBorders>
            <w:shd w:val="clear" w:color="auto" w:fill="FFFFFF"/>
          </w:tcPr>
          <w:p w14:paraId="618E1805" w14:textId="77777777" w:rsidR="006D4392" w:rsidRPr="00AD0FF4" w:rsidRDefault="00683A75" w:rsidP="00AD0FF4">
            <w:pPr>
              <w:spacing w:after="200" w:line="360" w:lineRule="auto"/>
              <w:jc w:val="both"/>
            </w:pPr>
            <w:r w:rsidRPr="00AD0FF4">
              <w:rPr>
                <w:rFonts w:eastAsia="Times New Roman"/>
                <w:sz w:val="18"/>
                <w:szCs w:val="18"/>
              </w:rPr>
              <w:t>***</w:t>
            </w:r>
          </w:p>
        </w:tc>
        <w:tc>
          <w:tcPr>
            <w:tcW w:w="915" w:type="dxa"/>
            <w:tcBorders>
              <w:top w:val="single" w:sz="1" w:space="0" w:color="CCCCCC"/>
              <w:left w:val="single" w:sz="1" w:space="0" w:color="CCCCCC"/>
              <w:bottom w:val="single" w:sz="1" w:space="0" w:color="CCCCCC"/>
              <w:right w:val="single" w:sz="1" w:space="0" w:color="CCCCCC"/>
            </w:tcBorders>
            <w:shd w:val="clear" w:color="auto" w:fill="FFFFFF"/>
          </w:tcPr>
          <w:p w14:paraId="233C4F8F" w14:textId="77777777" w:rsidR="006D4392" w:rsidRPr="00AD0FF4" w:rsidRDefault="00683A75" w:rsidP="00AD0FF4">
            <w:pPr>
              <w:spacing w:after="200" w:line="360" w:lineRule="auto"/>
              <w:jc w:val="both"/>
            </w:pPr>
            <w:r w:rsidRPr="00AD0FF4">
              <w:rPr>
                <w:rFonts w:eastAsia="Times New Roman"/>
                <w:sz w:val="18"/>
                <w:szCs w:val="18"/>
              </w:rPr>
              <w:t>0.8229</w:t>
            </w:r>
          </w:p>
        </w:tc>
        <w:tc>
          <w:tcPr>
            <w:tcW w:w="640" w:type="dxa"/>
            <w:tcBorders>
              <w:top w:val="single" w:sz="1" w:space="0" w:color="CCCCCC"/>
              <w:left w:val="single" w:sz="1" w:space="0" w:color="CCCCCC"/>
              <w:bottom w:val="single" w:sz="1" w:space="0" w:color="CCCCCC"/>
              <w:right w:val="single" w:sz="1" w:space="0" w:color="CCCCCC"/>
            </w:tcBorders>
            <w:shd w:val="clear" w:color="auto" w:fill="FFFFFF"/>
          </w:tcPr>
          <w:p w14:paraId="5BC4EF53" w14:textId="77777777" w:rsidR="006D4392" w:rsidRPr="00AD0FF4" w:rsidRDefault="00683A75" w:rsidP="00AD0FF4">
            <w:pPr>
              <w:spacing w:after="200" w:line="360" w:lineRule="auto"/>
              <w:jc w:val="both"/>
            </w:pPr>
            <w:r w:rsidRPr="00AD0FF4">
              <w:rPr>
                <w:rFonts w:eastAsia="Times New Roman"/>
                <w:sz w:val="18"/>
                <w:szCs w:val="18"/>
              </w:rPr>
              <w:t>***</w:t>
            </w:r>
          </w:p>
        </w:tc>
        <w:tc>
          <w:tcPr>
            <w:tcW w:w="2251" w:type="dxa"/>
            <w:tcBorders>
              <w:top w:val="single" w:sz="1" w:space="0" w:color="CCCCCC"/>
              <w:left w:val="single" w:sz="1" w:space="0" w:color="CCCCCC"/>
              <w:bottom w:val="single" w:sz="1" w:space="0" w:color="CCCCCC"/>
              <w:right w:val="single" w:sz="1" w:space="0" w:color="CCCCCC"/>
            </w:tcBorders>
            <w:shd w:val="clear" w:color="auto" w:fill="FFFFFF"/>
          </w:tcPr>
          <w:p w14:paraId="2D1E1CD8" w14:textId="77777777" w:rsidR="006D4392" w:rsidRPr="00AD0FF4" w:rsidRDefault="00683A75" w:rsidP="00AD0FF4">
            <w:pPr>
              <w:spacing w:after="200" w:line="360" w:lineRule="auto"/>
              <w:jc w:val="both"/>
            </w:pPr>
            <w:r w:rsidRPr="00AD0FF4">
              <w:rPr>
                <w:rFonts w:ascii="Segoe UI Symbol" w:eastAsia="Times New Roman" w:hAnsi="Segoe UI Symbol" w:cs="Segoe UI Symbol"/>
                <w:sz w:val="18"/>
                <w:szCs w:val="18"/>
              </w:rPr>
              <w:t>★</w:t>
            </w:r>
            <w:r w:rsidRPr="00AD0FF4">
              <w:rPr>
                <w:rFonts w:eastAsia="Times New Roman"/>
                <w:sz w:val="18"/>
                <w:szCs w:val="18"/>
              </w:rPr>
              <w:t xml:space="preserve"> Lost Decades: CA elasticity collapses; EE growth drag emerges; EE worsens inequality</w:t>
            </w:r>
          </w:p>
        </w:tc>
      </w:tr>
      <w:tr w:rsidR="006D4392" w:rsidRPr="00AD0FF4" w14:paraId="434527AC" w14:textId="77777777" w:rsidTr="00AD0FF4">
        <w:trPr>
          <w:trHeight w:val="885"/>
        </w:trPr>
        <w:tc>
          <w:tcPr>
            <w:tcW w:w="823" w:type="dxa"/>
            <w:tcBorders>
              <w:top w:val="single" w:sz="1" w:space="0" w:color="CCCCCC"/>
              <w:left w:val="single" w:sz="1" w:space="0" w:color="CCCCCC"/>
              <w:bottom w:val="single" w:sz="1" w:space="0" w:color="CCCCCC"/>
              <w:right w:val="single" w:sz="1" w:space="0" w:color="CCCCCC"/>
            </w:tcBorders>
            <w:shd w:val="clear" w:color="auto" w:fill="F5F7FA"/>
          </w:tcPr>
          <w:p w14:paraId="38D60286" w14:textId="77777777" w:rsidR="006D4392" w:rsidRPr="00AD0FF4" w:rsidRDefault="00683A75" w:rsidP="00AD0FF4">
            <w:pPr>
              <w:spacing w:after="200" w:line="360" w:lineRule="auto"/>
              <w:jc w:val="both"/>
            </w:pPr>
            <w:r w:rsidRPr="00AD0FF4">
              <w:rPr>
                <w:rFonts w:eastAsia="Times New Roman"/>
                <w:sz w:val="18"/>
                <w:szCs w:val="18"/>
              </w:rPr>
              <w:t>Phase 3</w:t>
            </w:r>
          </w:p>
        </w:tc>
        <w:tc>
          <w:tcPr>
            <w:tcW w:w="1098" w:type="dxa"/>
            <w:tcBorders>
              <w:top w:val="single" w:sz="1" w:space="0" w:color="CCCCCC"/>
              <w:left w:val="single" w:sz="1" w:space="0" w:color="CCCCCC"/>
              <w:bottom w:val="single" w:sz="1" w:space="0" w:color="CCCCCC"/>
              <w:right w:val="single" w:sz="1" w:space="0" w:color="CCCCCC"/>
            </w:tcBorders>
            <w:shd w:val="clear" w:color="auto" w:fill="F5F7FA"/>
          </w:tcPr>
          <w:p w14:paraId="052B9C3C" w14:textId="77777777" w:rsidR="006D4392" w:rsidRPr="00AD0FF4" w:rsidRDefault="00683A75" w:rsidP="00AD0FF4">
            <w:pPr>
              <w:spacing w:after="200" w:line="360" w:lineRule="auto"/>
              <w:jc w:val="both"/>
            </w:pPr>
            <w:r w:rsidRPr="00AD0FF4">
              <w:rPr>
                <w:rFonts w:eastAsia="Times New Roman"/>
                <w:sz w:val="18"/>
                <w:szCs w:val="18"/>
              </w:rPr>
              <w:t>2013–21</w:t>
            </w:r>
          </w:p>
        </w:tc>
        <w:tc>
          <w:tcPr>
            <w:tcW w:w="915" w:type="dxa"/>
            <w:tcBorders>
              <w:top w:val="single" w:sz="1" w:space="0" w:color="CCCCCC"/>
              <w:left w:val="single" w:sz="1" w:space="0" w:color="CCCCCC"/>
              <w:bottom w:val="single" w:sz="1" w:space="0" w:color="CCCCCC"/>
              <w:right w:val="single" w:sz="1" w:space="0" w:color="CCCCCC"/>
            </w:tcBorders>
            <w:shd w:val="clear" w:color="auto" w:fill="F5F7FA"/>
          </w:tcPr>
          <w:p w14:paraId="75155D32" w14:textId="77777777" w:rsidR="006D4392" w:rsidRPr="00AD0FF4" w:rsidRDefault="00683A75" w:rsidP="00AD0FF4">
            <w:pPr>
              <w:spacing w:after="200" w:line="360" w:lineRule="auto"/>
              <w:jc w:val="both"/>
            </w:pPr>
            <w:r w:rsidRPr="00AD0FF4">
              <w:rPr>
                <w:rFonts w:eastAsia="Times New Roman"/>
                <w:sz w:val="18"/>
                <w:szCs w:val="18"/>
              </w:rPr>
              <w:t>0.1375</w:t>
            </w:r>
          </w:p>
        </w:tc>
        <w:tc>
          <w:tcPr>
            <w:tcW w:w="640" w:type="dxa"/>
            <w:tcBorders>
              <w:top w:val="single" w:sz="1" w:space="0" w:color="CCCCCC"/>
              <w:left w:val="single" w:sz="1" w:space="0" w:color="CCCCCC"/>
              <w:bottom w:val="single" w:sz="1" w:space="0" w:color="CCCCCC"/>
              <w:right w:val="single" w:sz="1" w:space="0" w:color="CCCCCC"/>
            </w:tcBorders>
            <w:shd w:val="clear" w:color="auto" w:fill="F5F7FA"/>
          </w:tcPr>
          <w:p w14:paraId="4FA5383B" w14:textId="77777777" w:rsidR="006D4392" w:rsidRPr="00AD0FF4" w:rsidRDefault="00683A75" w:rsidP="00AD0FF4">
            <w:pPr>
              <w:spacing w:after="200" w:line="360" w:lineRule="auto"/>
              <w:jc w:val="both"/>
            </w:pPr>
            <w:r w:rsidRPr="00AD0FF4">
              <w:rPr>
                <w:rFonts w:eastAsia="Times New Roman"/>
                <w:sz w:val="18"/>
                <w:szCs w:val="18"/>
              </w:rPr>
              <w:t>***</w:t>
            </w:r>
          </w:p>
        </w:tc>
        <w:tc>
          <w:tcPr>
            <w:tcW w:w="915" w:type="dxa"/>
            <w:tcBorders>
              <w:top w:val="single" w:sz="1" w:space="0" w:color="CCCCCC"/>
              <w:left w:val="single" w:sz="1" w:space="0" w:color="CCCCCC"/>
              <w:bottom w:val="single" w:sz="1" w:space="0" w:color="CCCCCC"/>
              <w:right w:val="single" w:sz="1" w:space="0" w:color="CCCCCC"/>
            </w:tcBorders>
            <w:shd w:val="clear" w:color="auto" w:fill="F5F7FA"/>
          </w:tcPr>
          <w:p w14:paraId="106B0D06" w14:textId="77777777" w:rsidR="006D4392" w:rsidRPr="00AD0FF4" w:rsidRDefault="00683A75" w:rsidP="00AD0FF4">
            <w:pPr>
              <w:spacing w:after="200" w:line="360" w:lineRule="auto"/>
              <w:jc w:val="both"/>
            </w:pPr>
            <w:r w:rsidRPr="00AD0FF4">
              <w:rPr>
                <w:rFonts w:eastAsia="Times New Roman"/>
                <w:sz w:val="18"/>
                <w:szCs w:val="18"/>
              </w:rPr>
              <w:t>0.0429</w:t>
            </w:r>
          </w:p>
        </w:tc>
        <w:tc>
          <w:tcPr>
            <w:tcW w:w="640" w:type="dxa"/>
            <w:tcBorders>
              <w:top w:val="single" w:sz="1" w:space="0" w:color="CCCCCC"/>
              <w:left w:val="single" w:sz="1" w:space="0" w:color="CCCCCC"/>
              <w:bottom w:val="single" w:sz="1" w:space="0" w:color="CCCCCC"/>
              <w:right w:val="single" w:sz="1" w:space="0" w:color="CCCCCC"/>
            </w:tcBorders>
            <w:shd w:val="clear" w:color="auto" w:fill="F5F7FA"/>
          </w:tcPr>
          <w:p w14:paraId="75DF4DA2" w14:textId="77777777" w:rsidR="006D4392" w:rsidRPr="00AD0FF4" w:rsidRDefault="00683A75" w:rsidP="00AD0FF4">
            <w:pPr>
              <w:spacing w:after="200" w:line="360" w:lineRule="auto"/>
              <w:jc w:val="both"/>
            </w:pPr>
            <w:r w:rsidRPr="00AD0FF4">
              <w:rPr>
                <w:rFonts w:eastAsia="Times New Roman"/>
                <w:sz w:val="18"/>
                <w:szCs w:val="18"/>
              </w:rPr>
              <w:t>***</w:t>
            </w:r>
          </w:p>
        </w:tc>
        <w:tc>
          <w:tcPr>
            <w:tcW w:w="915" w:type="dxa"/>
            <w:tcBorders>
              <w:top w:val="single" w:sz="1" w:space="0" w:color="CCCCCC"/>
              <w:left w:val="single" w:sz="1" w:space="0" w:color="CCCCCC"/>
              <w:bottom w:val="single" w:sz="1" w:space="0" w:color="CCCCCC"/>
              <w:right w:val="single" w:sz="1" w:space="0" w:color="CCCCCC"/>
            </w:tcBorders>
            <w:shd w:val="clear" w:color="auto" w:fill="F5F7FA"/>
          </w:tcPr>
          <w:p w14:paraId="12B2315F" w14:textId="77777777" w:rsidR="006D4392" w:rsidRPr="00AD0FF4" w:rsidRDefault="00683A75" w:rsidP="00AD0FF4">
            <w:pPr>
              <w:spacing w:after="200" w:line="360" w:lineRule="auto"/>
              <w:jc w:val="both"/>
            </w:pPr>
            <w:r w:rsidRPr="00AD0FF4">
              <w:rPr>
                <w:rFonts w:eastAsia="Times New Roman"/>
                <w:sz w:val="18"/>
                <w:szCs w:val="18"/>
              </w:rPr>
              <w:t>−0.9780</w:t>
            </w:r>
          </w:p>
        </w:tc>
        <w:tc>
          <w:tcPr>
            <w:tcW w:w="640" w:type="dxa"/>
            <w:tcBorders>
              <w:top w:val="single" w:sz="1" w:space="0" w:color="CCCCCC"/>
              <w:left w:val="single" w:sz="1" w:space="0" w:color="CCCCCC"/>
              <w:bottom w:val="single" w:sz="1" w:space="0" w:color="CCCCCC"/>
              <w:right w:val="single" w:sz="1" w:space="0" w:color="CCCCCC"/>
            </w:tcBorders>
            <w:shd w:val="clear" w:color="auto" w:fill="F5F7FA"/>
          </w:tcPr>
          <w:p w14:paraId="591CC42E" w14:textId="77777777" w:rsidR="006D4392" w:rsidRPr="00AD0FF4" w:rsidRDefault="00683A75" w:rsidP="00AD0FF4">
            <w:pPr>
              <w:spacing w:after="200" w:line="360" w:lineRule="auto"/>
              <w:jc w:val="both"/>
            </w:pPr>
            <w:r w:rsidRPr="00AD0FF4">
              <w:rPr>
                <w:rFonts w:eastAsia="Times New Roman"/>
                <w:sz w:val="18"/>
                <w:szCs w:val="18"/>
              </w:rPr>
              <w:t>++</w:t>
            </w:r>
          </w:p>
        </w:tc>
        <w:tc>
          <w:tcPr>
            <w:tcW w:w="915" w:type="dxa"/>
            <w:tcBorders>
              <w:top w:val="single" w:sz="1" w:space="0" w:color="CCCCCC"/>
              <w:left w:val="single" w:sz="1" w:space="0" w:color="CCCCCC"/>
              <w:bottom w:val="single" w:sz="1" w:space="0" w:color="CCCCCC"/>
              <w:right w:val="single" w:sz="1" w:space="0" w:color="CCCCCC"/>
            </w:tcBorders>
            <w:shd w:val="clear" w:color="auto" w:fill="F5F7FA"/>
          </w:tcPr>
          <w:p w14:paraId="3F9EFB2B" w14:textId="77777777" w:rsidR="006D4392" w:rsidRPr="00AD0FF4" w:rsidRDefault="00683A75" w:rsidP="00AD0FF4">
            <w:pPr>
              <w:spacing w:after="200" w:line="360" w:lineRule="auto"/>
              <w:jc w:val="both"/>
            </w:pPr>
            <w:r w:rsidRPr="00AD0FF4">
              <w:rPr>
                <w:rFonts w:eastAsia="Times New Roman"/>
                <w:sz w:val="18"/>
                <w:szCs w:val="18"/>
              </w:rPr>
              <w:t>0.4970</w:t>
            </w:r>
          </w:p>
        </w:tc>
        <w:tc>
          <w:tcPr>
            <w:tcW w:w="640" w:type="dxa"/>
            <w:tcBorders>
              <w:top w:val="single" w:sz="1" w:space="0" w:color="CCCCCC"/>
              <w:left w:val="single" w:sz="1" w:space="0" w:color="CCCCCC"/>
              <w:bottom w:val="single" w:sz="1" w:space="0" w:color="CCCCCC"/>
              <w:right w:val="single" w:sz="1" w:space="0" w:color="CCCCCC"/>
            </w:tcBorders>
            <w:shd w:val="clear" w:color="auto" w:fill="F5F7FA"/>
          </w:tcPr>
          <w:p w14:paraId="51166E05" w14:textId="77777777" w:rsidR="006D4392" w:rsidRPr="00AD0FF4" w:rsidRDefault="00683A75" w:rsidP="00AD0FF4">
            <w:pPr>
              <w:spacing w:after="200" w:line="360" w:lineRule="auto"/>
              <w:jc w:val="both"/>
            </w:pPr>
            <w:r w:rsidRPr="00AD0FF4">
              <w:rPr>
                <w:rFonts w:eastAsia="Times New Roman"/>
                <w:sz w:val="18"/>
                <w:szCs w:val="18"/>
              </w:rPr>
              <w:t>***</w:t>
            </w:r>
          </w:p>
        </w:tc>
        <w:tc>
          <w:tcPr>
            <w:tcW w:w="2251" w:type="dxa"/>
            <w:tcBorders>
              <w:top w:val="single" w:sz="1" w:space="0" w:color="CCCCCC"/>
              <w:left w:val="single" w:sz="1" w:space="0" w:color="CCCCCC"/>
              <w:bottom w:val="single" w:sz="1" w:space="0" w:color="CCCCCC"/>
              <w:right w:val="single" w:sz="1" w:space="0" w:color="CCCCCC"/>
            </w:tcBorders>
            <w:shd w:val="clear" w:color="auto" w:fill="F5F7FA"/>
          </w:tcPr>
          <w:p w14:paraId="6487A801" w14:textId="77777777" w:rsidR="006D4392" w:rsidRPr="00AD0FF4" w:rsidRDefault="00683A75" w:rsidP="00AD0FF4">
            <w:pPr>
              <w:spacing w:after="200" w:line="360" w:lineRule="auto"/>
              <w:jc w:val="both"/>
            </w:pPr>
            <w:r w:rsidRPr="00AD0FF4">
              <w:rPr>
                <w:rFonts w:eastAsia="Times New Roman"/>
                <w:sz w:val="18"/>
                <w:szCs w:val="18"/>
              </w:rPr>
              <w:t>Abenomics partial recovery; CA restores growth role; NO co-prosperity (CA still widens inequality)</w:t>
            </w:r>
          </w:p>
        </w:tc>
      </w:tr>
    </w:tbl>
    <w:p w14:paraId="4F0FCE3F" w14:textId="77777777" w:rsidR="006D4392" w:rsidRPr="00AD0FF4" w:rsidRDefault="00683A75" w:rsidP="00AD0FF4">
      <w:pPr>
        <w:spacing w:after="200" w:line="360" w:lineRule="auto"/>
        <w:jc w:val="both"/>
      </w:pPr>
      <w:r w:rsidRPr="00AD0FF4">
        <w:rPr>
          <w:rFonts w:eastAsia="Times New Roman"/>
          <w:i/>
          <w:iCs/>
          <w:sz w:val="18"/>
          <w:szCs w:val="18"/>
        </w:rPr>
        <w:t xml:space="preserve">Notes: Phase totals recovered by linear combination (lincom) with delta-method HAC SE. Phase 1 CA=β₁, EE=β₂; Phase 2: β₁+β₆, β₂+β₈; Phase 3: β₁+β₆+β₇, β₂+β₈+β₉. *** p&lt;0.01, ** p&lt;0.05, * p&lt;0.10, ++ p&lt;0.15, n.s. = not significant. </w:t>
      </w:r>
      <w:r w:rsidRPr="00AD0FF4">
        <w:rPr>
          <w:rFonts w:ascii="Segoe UI Symbol" w:eastAsia="Times New Roman" w:hAnsi="Segoe UI Symbol" w:cs="Segoe UI Symbol"/>
          <w:i/>
          <w:iCs/>
          <w:sz w:val="18"/>
          <w:szCs w:val="18"/>
        </w:rPr>
        <w:t>★</w:t>
      </w:r>
      <w:r w:rsidRPr="00AD0FF4">
        <w:rPr>
          <w:rFonts w:eastAsia="Times New Roman"/>
          <w:i/>
          <w:iCs/>
          <w:sz w:val="18"/>
          <w:szCs w:val="18"/>
        </w:rPr>
        <w:t xml:space="preserve"> = key institutional finding.</w:t>
      </w:r>
    </w:p>
    <w:p w14:paraId="2C681BC8" w14:textId="77777777" w:rsidR="006D4392" w:rsidRPr="00AD0FF4" w:rsidRDefault="006D4392" w:rsidP="00AD0FF4">
      <w:pPr>
        <w:spacing w:after="200" w:line="360" w:lineRule="auto"/>
        <w:jc w:val="both"/>
      </w:pPr>
    </w:p>
    <w:p w14:paraId="30FE99C7" w14:textId="77777777" w:rsidR="006D4392" w:rsidRPr="00AD0FF4" w:rsidRDefault="00683A75" w:rsidP="00AD0FF4">
      <w:pPr>
        <w:spacing w:after="200" w:line="360" w:lineRule="auto"/>
        <w:jc w:val="both"/>
      </w:pPr>
      <w:r w:rsidRPr="00AD0FF4">
        <w:rPr>
          <w:rFonts w:eastAsia="Times New Roman"/>
          <w:b/>
          <w:bCs/>
          <w:sz w:val="22"/>
          <w:szCs w:val="22"/>
        </w:rPr>
        <w:t>Table 4: GDP/Gini Intercepts, Openness Effects, and Institutional Parameter θ</w:t>
      </w:r>
    </w:p>
    <w:p w14:paraId="325E4421" w14:textId="77777777" w:rsidR="006D4392" w:rsidRPr="00AD0FF4" w:rsidRDefault="006D4392" w:rsidP="00AD0FF4">
      <w:pPr>
        <w:spacing w:after="200" w:line="360" w:lineRule="auto"/>
        <w:jc w:val="both"/>
      </w:pPr>
    </w:p>
    <w:tbl>
      <w:tblPr>
        <w:tblW w:w="11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0"/>
        <w:gridCol w:w="1400"/>
        <w:gridCol w:w="700"/>
        <w:gridCol w:w="1400"/>
        <w:gridCol w:w="700"/>
        <w:gridCol w:w="1100"/>
        <w:gridCol w:w="700"/>
        <w:gridCol w:w="1000"/>
        <w:gridCol w:w="1300"/>
        <w:gridCol w:w="1200"/>
        <w:gridCol w:w="1260"/>
      </w:tblGrid>
      <w:tr w:rsidR="006D4392" w:rsidRPr="00AD0FF4" w14:paraId="4E471F34" w14:textId="77777777">
        <w:tc>
          <w:tcPr>
            <w:tcW w:w="900" w:type="dxa"/>
            <w:tcBorders>
              <w:top w:val="single" w:sz="4" w:space="0" w:color="2E4B8F"/>
              <w:left w:val="single" w:sz="4" w:space="0" w:color="2E4B8F"/>
              <w:bottom w:val="single" w:sz="4" w:space="0" w:color="2E4B8F"/>
              <w:right w:val="single" w:sz="4" w:space="0" w:color="2E4B8F"/>
            </w:tcBorders>
            <w:shd w:val="clear" w:color="auto" w:fill="2E4B8F"/>
          </w:tcPr>
          <w:p w14:paraId="656881D9" w14:textId="77777777" w:rsidR="006D4392" w:rsidRPr="00AD0FF4" w:rsidRDefault="00683A75" w:rsidP="00AD0FF4">
            <w:pPr>
              <w:spacing w:after="200" w:line="360" w:lineRule="auto"/>
              <w:jc w:val="both"/>
            </w:pPr>
            <w:r w:rsidRPr="00AD0FF4">
              <w:rPr>
                <w:rFonts w:eastAsia="Times New Roman"/>
                <w:b/>
                <w:bCs/>
                <w:color w:val="FFFFFF"/>
                <w:sz w:val="18"/>
                <w:szCs w:val="18"/>
              </w:rPr>
              <w:t>Phase</w:t>
            </w:r>
          </w:p>
        </w:tc>
        <w:tc>
          <w:tcPr>
            <w:tcW w:w="1400" w:type="dxa"/>
            <w:tcBorders>
              <w:top w:val="single" w:sz="4" w:space="0" w:color="2E4B8F"/>
              <w:left w:val="single" w:sz="4" w:space="0" w:color="2E4B8F"/>
              <w:bottom w:val="single" w:sz="4" w:space="0" w:color="2E4B8F"/>
              <w:right w:val="single" w:sz="4" w:space="0" w:color="2E4B8F"/>
            </w:tcBorders>
            <w:shd w:val="clear" w:color="auto" w:fill="2E4B8F"/>
          </w:tcPr>
          <w:p w14:paraId="754A5631" w14:textId="77777777" w:rsidR="006D4392" w:rsidRPr="00AD0FF4" w:rsidRDefault="00683A75" w:rsidP="00AD0FF4">
            <w:pPr>
              <w:spacing w:after="200" w:line="360" w:lineRule="auto"/>
              <w:jc w:val="both"/>
            </w:pPr>
            <w:r w:rsidRPr="00AD0FF4">
              <w:rPr>
                <w:rFonts w:eastAsia="Times New Roman"/>
                <w:b/>
                <w:bCs/>
                <w:color w:val="FFFFFF"/>
                <w:sz w:val="18"/>
                <w:szCs w:val="18"/>
              </w:rPr>
              <w:t>GDP Intercept</w:t>
            </w:r>
          </w:p>
        </w:tc>
        <w:tc>
          <w:tcPr>
            <w:tcW w:w="700" w:type="dxa"/>
            <w:tcBorders>
              <w:top w:val="single" w:sz="4" w:space="0" w:color="2E4B8F"/>
              <w:left w:val="single" w:sz="4" w:space="0" w:color="2E4B8F"/>
              <w:bottom w:val="single" w:sz="4" w:space="0" w:color="2E4B8F"/>
              <w:right w:val="single" w:sz="4" w:space="0" w:color="2E4B8F"/>
            </w:tcBorders>
            <w:shd w:val="clear" w:color="auto" w:fill="2E4B8F"/>
          </w:tcPr>
          <w:p w14:paraId="3FD99960" w14:textId="77777777" w:rsidR="006D4392" w:rsidRPr="00AD0FF4" w:rsidRDefault="00683A75" w:rsidP="00AD0FF4">
            <w:pPr>
              <w:spacing w:after="200" w:line="360" w:lineRule="auto"/>
              <w:jc w:val="both"/>
            </w:pPr>
            <w:r w:rsidRPr="00AD0FF4">
              <w:rPr>
                <w:rFonts w:eastAsia="Times New Roman"/>
                <w:b/>
                <w:bCs/>
                <w:color w:val="FFFFFF"/>
                <w:sz w:val="18"/>
                <w:szCs w:val="18"/>
              </w:rPr>
              <w:t>Sig.</w:t>
            </w:r>
          </w:p>
        </w:tc>
        <w:tc>
          <w:tcPr>
            <w:tcW w:w="1400" w:type="dxa"/>
            <w:tcBorders>
              <w:top w:val="single" w:sz="4" w:space="0" w:color="2E4B8F"/>
              <w:left w:val="single" w:sz="4" w:space="0" w:color="2E4B8F"/>
              <w:bottom w:val="single" w:sz="4" w:space="0" w:color="2E4B8F"/>
              <w:right w:val="single" w:sz="4" w:space="0" w:color="2E4B8F"/>
            </w:tcBorders>
            <w:shd w:val="clear" w:color="auto" w:fill="2E4B8F"/>
          </w:tcPr>
          <w:p w14:paraId="19DDD038" w14:textId="77777777" w:rsidR="006D4392" w:rsidRPr="00AD0FF4" w:rsidRDefault="00683A75" w:rsidP="00AD0FF4">
            <w:pPr>
              <w:spacing w:after="200" w:line="360" w:lineRule="auto"/>
              <w:jc w:val="both"/>
            </w:pPr>
            <w:r w:rsidRPr="00AD0FF4">
              <w:rPr>
                <w:rFonts w:eastAsia="Times New Roman"/>
                <w:b/>
                <w:bCs/>
                <w:color w:val="FFFFFF"/>
                <w:sz w:val="18"/>
                <w:szCs w:val="18"/>
              </w:rPr>
              <w:t>Gini Intercept</w:t>
            </w:r>
          </w:p>
        </w:tc>
        <w:tc>
          <w:tcPr>
            <w:tcW w:w="700" w:type="dxa"/>
            <w:tcBorders>
              <w:top w:val="single" w:sz="4" w:space="0" w:color="2E4B8F"/>
              <w:left w:val="single" w:sz="4" w:space="0" w:color="2E4B8F"/>
              <w:bottom w:val="single" w:sz="4" w:space="0" w:color="2E4B8F"/>
              <w:right w:val="single" w:sz="4" w:space="0" w:color="2E4B8F"/>
            </w:tcBorders>
            <w:shd w:val="clear" w:color="auto" w:fill="2E4B8F"/>
          </w:tcPr>
          <w:p w14:paraId="6D89ADBD" w14:textId="77777777" w:rsidR="006D4392" w:rsidRPr="00AD0FF4" w:rsidRDefault="00683A75" w:rsidP="00AD0FF4">
            <w:pPr>
              <w:spacing w:after="200" w:line="360" w:lineRule="auto"/>
              <w:jc w:val="both"/>
            </w:pPr>
            <w:r w:rsidRPr="00AD0FF4">
              <w:rPr>
                <w:rFonts w:eastAsia="Times New Roman"/>
                <w:b/>
                <w:bCs/>
                <w:color w:val="FFFFFF"/>
                <w:sz w:val="18"/>
                <w:szCs w:val="18"/>
              </w:rPr>
              <w:t>Sig.</w:t>
            </w:r>
          </w:p>
        </w:tc>
        <w:tc>
          <w:tcPr>
            <w:tcW w:w="1100" w:type="dxa"/>
            <w:tcBorders>
              <w:top w:val="single" w:sz="4" w:space="0" w:color="2E4B8F"/>
              <w:left w:val="single" w:sz="4" w:space="0" w:color="2E4B8F"/>
              <w:bottom w:val="single" w:sz="4" w:space="0" w:color="2E4B8F"/>
              <w:right w:val="single" w:sz="4" w:space="0" w:color="2E4B8F"/>
            </w:tcBorders>
            <w:shd w:val="clear" w:color="auto" w:fill="2E4B8F"/>
          </w:tcPr>
          <w:p w14:paraId="55DB0ABE" w14:textId="77777777" w:rsidR="006D4392" w:rsidRPr="00AD0FF4" w:rsidRDefault="00683A75" w:rsidP="00AD0FF4">
            <w:pPr>
              <w:spacing w:after="200" w:line="360" w:lineRule="auto"/>
              <w:jc w:val="both"/>
            </w:pPr>
            <w:r w:rsidRPr="00AD0FF4">
              <w:rPr>
                <w:rFonts w:eastAsia="Times New Roman"/>
                <w:b/>
                <w:bCs/>
                <w:color w:val="FFFFFF"/>
                <w:sz w:val="18"/>
                <w:szCs w:val="18"/>
              </w:rPr>
              <w:t>Open→GDP</w:t>
            </w:r>
          </w:p>
        </w:tc>
        <w:tc>
          <w:tcPr>
            <w:tcW w:w="700" w:type="dxa"/>
            <w:tcBorders>
              <w:top w:val="single" w:sz="4" w:space="0" w:color="2E4B8F"/>
              <w:left w:val="single" w:sz="4" w:space="0" w:color="2E4B8F"/>
              <w:bottom w:val="single" w:sz="4" w:space="0" w:color="2E4B8F"/>
              <w:right w:val="single" w:sz="4" w:space="0" w:color="2E4B8F"/>
            </w:tcBorders>
            <w:shd w:val="clear" w:color="auto" w:fill="2E4B8F"/>
          </w:tcPr>
          <w:p w14:paraId="4F380831" w14:textId="77777777" w:rsidR="006D4392" w:rsidRPr="00AD0FF4" w:rsidRDefault="00683A75" w:rsidP="00AD0FF4">
            <w:pPr>
              <w:spacing w:after="200" w:line="360" w:lineRule="auto"/>
              <w:jc w:val="both"/>
            </w:pPr>
            <w:r w:rsidRPr="00AD0FF4">
              <w:rPr>
                <w:rFonts w:eastAsia="Times New Roman"/>
                <w:b/>
                <w:bCs/>
                <w:color w:val="FFFFFF"/>
                <w:sz w:val="18"/>
                <w:szCs w:val="18"/>
              </w:rPr>
              <w:t>Sig.</w:t>
            </w:r>
          </w:p>
        </w:tc>
        <w:tc>
          <w:tcPr>
            <w:tcW w:w="1000" w:type="dxa"/>
            <w:tcBorders>
              <w:top w:val="single" w:sz="4" w:space="0" w:color="2E4B8F"/>
              <w:left w:val="single" w:sz="4" w:space="0" w:color="2E4B8F"/>
              <w:bottom w:val="single" w:sz="4" w:space="0" w:color="2E4B8F"/>
              <w:right w:val="single" w:sz="4" w:space="0" w:color="2E4B8F"/>
            </w:tcBorders>
            <w:shd w:val="clear" w:color="auto" w:fill="2E4B8F"/>
          </w:tcPr>
          <w:p w14:paraId="339F3298" w14:textId="77777777" w:rsidR="006D4392" w:rsidRPr="00AD0FF4" w:rsidRDefault="00683A75" w:rsidP="00AD0FF4">
            <w:pPr>
              <w:spacing w:after="200" w:line="360" w:lineRule="auto"/>
              <w:jc w:val="both"/>
            </w:pPr>
            <w:r w:rsidRPr="00AD0FF4">
              <w:rPr>
                <w:rFonts w:eastAsia="Times New Roman"/>
                <w:b/>
                <w:bCs/>
                <w:color w:val="FFFFFF"/>
                <w:sz w:val="18"/>
                <w:szCs w:val="18"/>
              </w:rPr>
              <w:t>θ (avg)</w:t>
            </w:r>
          </w:p>
        </w:tc>
        <w:tc>
          <w:tcPr>
            <w:tcW w:w="1300" w:type="dxa"/>
            <w:tcBorders>
              <w:top w:val="single" w:sz="4" w:space="0" w:color="2E4B8F"/>
              <w:left w:val="single" w:sz="4" w:space="0" w:color="2E4B8F"/>
              <w:bottom w:val="single" w:sz="4" w:space="0" w:color="2E4B8F"/>
              <w:right w:val="single" w:sz="4" w:space="0" w:color="2E4B8F"/>
            </w:tcBorders>
            <w:shd w:val="clear" w:color="auto" w:fill="2E4B8F"/>
          </w:tcPr>
          <w:p w14:paraId="7D64AF2E" w14:textId="77777777" w:rsidR="006D4392" w:rsidRPr="00AD0FF4" w:rsidRDefault="00683A75" w:rsidP="00AD0FF4">
            <w:pPr>
              <w:spacing w:after="200" w:line="360" w:lineRule="auto"/>
              <w:jc w:val="both"/>
            </w:pPr>
            <w:r w:rsidRPr="00AD0FF4">
              <w:rPr>
                <w:rFonts w:eastAsia="Times New Roman"/>
                <w:b/>
                <w:bCs/>
                <w:color w:val="FFFFFF"/>
                <w:sz w:val="18"/>
                <w:szCs w:val="18"/>
              </w:rPr>
              <w:t>giniratio (avg)</w:t>
            </w:r>
          </w:p>
        </w:tc>
        <w:tc>
          <w:tcPr>
            <w:tcW w:w="1200" w:type="dxa"/>
            <w:tcBorders>
              <w:top w:val="single" w:sz="4" w:space="0" w:color="2E4B8F"/>
              <w:left w:val="single" w:sz="4" w:space="0" w:color="2E4B8F"/>
              <w:bottom w:val="single" w:sz="4" w:space="0" w:color="2E4B8F"/>
              <w:right w:val="single" w:sz="4" w:space="0" w:color="2E4B8F"/>
            </w:tcBorders>
            <w:shd w:val="clear" w:color="auto" w:fill="2E4B8F"/>
          </w:tcPr>
          <w:p w14:paraId="1AA1803C" w14:textId="77777777" w:rsidR="006D4392" w:rsidRPr="00AD0FF4" w:rsidRDefault="00683A75" w:rsidP="00AD0FF4">
            <w:pPr>
              <w:spacing w:after="200" w:line="360" w:lineRule="auto"/>
              <w:jc w:val="both"/>
            </w:pPr>
            <w:r w:rsidRPr="00AD0FF4">
              <w:rPr>
                <w:rFonts w:eastAsia="Times New Roman"/>
                <w:b/>
                <w:bCs/>
                <w:color w:val="FFFFFF"/>
                <w:sz w:val="18"/>
                <w:szCs w:val="18"/>
              </w:rPr>
              <w:t>CA growth %pa</w:t>
            </w:r>
          </w:p>
        </w:tc>
        <w:tc>
          <w:tcPr>
            <w:tcW w:w="1260" w:type="dxa"/>
            <w:tcBorders>
              <w:top w:val="single" w:sz="4" w:space="0" w:color="2E4B8F"/>
              <w:left w:val="single" w:sz="4" w:space="0" w:color="2E4B8F"/>
              <w:bottom w:val="single" w:sz="4" w:space="0" w:color="2E4B8F"/>
              <w:right w:val="single" w:sz="4" w:space="0" w:color="2E4B8F"/>
            </w:tcBorders>
            <w:shd w:val="clear" w:color="auto" w:fill="2E4B8F"/>
          </w:tcPr>
          <w:p w14:paraId="40C12F7A" w14:textId="77777777" w:rsidR="006D4392" w:rsidRPr="00AD0FF4" w:rsidRDefault="00683A75" w:rsidP="00AD0FF4">
            <w:pPr>
              <w:spacing w:after="200" w:line="360" w:lineRule="auto"/>
              <w:jc w:val="both"/>
            </w:pPr>
            <w:r w:rsidRPr="00AD0FF4">
              <w:rPr>
                <w:rFonts w:eastAsia="Times New Roman"/>
                <w:b/>
                <w:bCs/>
                <w:color w:val="FFFFFF"/>
                <w:sz w:val="18"/>
                <w:szCs w:val="18"/>
              </w:rPr>
              <w:t>GDP growth %pa</w:t>
            </w:r>
          </w:p>
        </w:tc>
      </w:tr>
      <w:tr w:rsidR="006D4392" w:rsidRPr="00AD0FF4" w14:paraId="299139FA" w14:textId="77777777">
        <w:tc>
          <w:tcPr>
            <w:tcW w:w="900" w:type="dxa"/>
            <w:tcBorders>
              <w:top w:val="single" w:sz="1" w:space="0" w:color="CCCCCC"/>
              <w:left w:val="single" w:sz="1" w:space="0" w:color="CCCCCC"/>
              <w:bottom w:val="single" w:sz="1" w:space="0" w:color="CCCCCC"/>
              <w:right w:val="single" w:sz="1" w:space="0" w:color="CCCCCC"/>
            </w:tcBorders>
            <w:shd w:val="clear" w:color="auto" w:fill="F5F7FA"/>
          </w:tcPr>
          <w:p w14:paraId="1984FD76" w14:textId="77777777" w:rsidR="006D4392" w:rsidRPr="00AD0FF4" w:rsidRDefault="00683A75" w:rsidP="00AD0FF4">
            <w:pPr>
              <w:spacing w:after="200" w:line="360" w:lineRule="auto"/>
              <w:jc w:val="both"/>
            </w:pPr>
            <w:r w:rsidRPr="00AD0FF4">
              <w:rPr>
                <w:rFonts w:eastAsia="Times New Roman"/>
                <w:sz w:val="18"/>
                <w:szCs w:val="18"/>
              </w:rPr>
              <w:t>Phase 1</w:t>
            </w:r>
          </w:p>
        </w:tc>
        <w:tc>
          <w:tcPr>
            <w:tcW w:w="1400" w:type="dxa"/>
            <w:tcBorders>
              <w:top w:val="single" w:sz="1" w:space="0" w:color="CCCCCC"/>
              <w:left w:val="single" w:sz="1" w:space="0" w:color="CCCCCC"/>
              <w:bottom w:val="single" w:sz="1" w:space="0" w:color="CCCCCC"/>
              <w:right w:val="single" w:sz="1" w:space="0" w:color="CCCCCC"/>
            </w:tcBorders>
            <w:shd w:val="clear" w:color="auto" w:fill="F5F7FA"/>
          </w:tcPr>
          <w:p w14:paraId="1DFC5D1A" w14:textId="77777777" w:rsidR="006D4392" w:rsidRPr="00AD0FF4" w:rsidRDefault="00683A75" w:rsidP="00AD0FF4">
            <w:pPr>
              <w:spacing w:after="200" w:line="360" w:lineRule="auto"/>
              <w:jc w:val="both"/>
            </w:pPr>
            <w:r w:rsidRPr="00AD0FF4">
              <w:rPr>
                <w:rFonts w:eastAsia="Times New Roman"/>
                <w:sz w:val="18"/>
                <w:szCs w:val="18"/>
              </w:rPr>
              <w:t>13.0756</w:t>
            </w:r>
          </w:p>
        </w:tc>
        <w:tc>
          <w:tcPr>
            <w:tcW w:w="700" w:type="dxa"/>
            <w:tcBorders>
              <w:top w:val="single" w:sz="1" w:space="0" w:color="CCCCCC"/>
              <w:left w:val="single" w:sz="1" w:space="0" w:color="CCCCCC"/>
              <w:bottom w:val="single" w:sz="1" w:space="0" w:color="CCCCCC"/>
              <w:right w:val="single" w:sz="1" w:space="0" w:color="CCCCCC"/>
            </w:tcBorders>
            <w:shd w:val="clear" w:color="auto" w:fill="F5F7FA"/>
          </w:tcPr>
          <w:p w14:paraId="758C81FD" w14:textId="77777777" w:rsidR="006D4392" w:rsidRPr="00AD0FF4" w:rsidRDefault="00683A75" w:rsidP="00AD0FF4">
            <w:pPr>
              <w:spacing w:after="200" w:line="360" w:lineRule="auto"/>
              <w:jc w:val="both"/>
            </w:pPr>
            <w:r w:rsidRPr="00AD0FF4">
              <w:rPr>
                <w:rFonts w:eastAsia="Times New Roman"/>
                <w:sz w:val="18"/>
                <w:szCs w:val="18"/>
              </w:rPr>
              <w:t>***</w:t>
            </w:r>
          </w:p>
        </w:tc>
        <w:tc>
          <w:tcPr>
            <w:tcW w:w="1400" w:type="dxa"/>
            <w:tcBorders>
              <w:top w:val="single" w:sz="1" w:space="0" w:color="CCCCCC"/>
              <w:left w:val="single" w:sz="1" w:space="0" w:color="CCCCCC"/>
              <w:bottom w:val="single" w:sz="1" w:space="0" w:color="CCCCCC"/>
              <w:right w:val="single" w:sz="1" w:space="0" w:color="CCCCCC"/>
            </w:tcBorders>
            <w:shd w:val="clear" w:color="auto" w:fill="F5F7FA"/>
          </w:tcPr>
          <w:p w14:paraId="2A63B50E" w14:textId="77777777" w:rsidR="006D4392" w:rsidRPr="00AD0FF4" w:rsidRDefault="00683A75" w:rsidP="00AD0FF4">
            <w:pPr>
              <w:spacing w:after="200" w:line="360" w:lineRule="auto"/>
              <w:jc w:val="both"/>
            </w:pPr>
            <w:r w:rsidRPr="00AD0FF4">
              <w:rPr>
                <w:rFonts w:eastAsia="Times New Roman"/>
                <w:sz w:val="18"/>
                <w:szCs w:val="18"/>
              </w:rPr>
              <w:t>0.8367</w:t>
            </w:r>
          </w:p>
        </w:tc>
        <w:tc>
          <w:tcPr>
            <w:tcW w:w="700" w:type="dxa"/>
            <w:tcBorders>
              <w:top w:val="single" w:sz="1" w:space="0" w:color="CCCCCC"/>
              <w:left w:val="single" w:sz="1" w:space="0" w:color="CCCCCC"/>
              <w:bottom w:val="single" w:sz="1" w:space="0" w:color="CCCCCC"/>
              <w:right w:val="single" w:sz="1" w:space="0" w:color="CCCCCC"/>
            </w:tcBorders>
            <w:shd w:val="clear" w:color="auto" w:fill="F5F7FA"/>
          </w:tcPr>
          <w:p w14:paraId="4E25B486" w14:textId="77777777" w:rsidR="006D4392" w:rsidRPr="00AD0FF4" w:rsidRDefault="00683A75" w:rsidP="00AD0FF4">
            <w:pPr>
              <w:spacing w:after="200" w:line="360" w:lineRule="auto"/>
              <w:jc w:val="both"/>
            </w:pPr>
            <w:r w:rsidRPr="00AD0FF4">
              <w:rPr>
                <w:rFonts w:eastAsia="Times New Roman"/>
                <w:sz w:val="18"/>
                <w:szCs w:val="18"/>
              </w:rPr>
              <w:t>***</w:t>
            </w:r>
          </w:p>
        </w:tc>
        <w:tc>
          <w:tcPr>
            <w:tcW w:w="1100" w:type="dxa"/>
            <w:tcBorders>
              <w:top w:val="single" w:sz="1" w:space="0" w:color="CCCCCC"/>
              <w:left w:val="single" w:sz="1" w:space="0" w:color="CCCCCC"/>
              <w:bottom w:val="single" w:sz="1" w:space="0" w:color="CCCCCC"/>
              <w:right w:val="single" w:sz="1" w:space="0" w:color="CCCCCC"/>
            </w:tcBorders>
            <w:shd w:val="clear" w:color="auto" w:fill="F5F7FA"/>
          </w:tcPr>
          <w:p w14:paraId="178B5BBD" w14:textId="77777777" w:rsidR="006D4392" w:rsidRPr="00AD0FF4" w:rsidRDefault="00683A75" w:rsidP="00AD0FF4">
            <w:pPr>
              <w:spacing w:after="200" w:line="360" w:lineRule="auto"/>
              <w:jc w:val="both"/>
            </w:pPr>
            <w:r w:rsidRPr="00AD0FF4">
              <w:rPr>
                <w:rFonts w:eastAsia="Times New Roman"/>
                <w:sz w:val="18"/>
                <w:szCs w:val="18"/>
              </w:rPr>
              <w:t>0.2897</w:t>
            </w:r>
          </w:p>
        </w:tc>
        <w:tc>
          <w:tcPr>
            <w:tcW w:w="700" w:type="dxa"/>
            <w:tcBorders>
              <w:top w:val="single" w:sz="1" w:space="0" w:color="CCCCCC"/>
              <w:left w:val="single" w:sz="1" w:space="0" w:color="CCCCCC"/>
              <w:bottom w:val="single" w:sz="1" w:space="0" w:color="CCCCCC"/>
              <w:right w:val="single" w:sz="1" w:space="0" w:color="CCCCCC"/>
            </w:tcBorders>
            <w:shd w:val="clear" w:color="auto" w:fill="F5F7FA"/>
          </w:tcPr>
          <w:p w14:paraId="584B1A14" w14:textId="77777777" w:rsidR="006D4392" w:rsidRPr="00AD0FF4" w:rsidRDefault="00683A75" w:rsidP="00AD0FF4">
            <w:pPr>
              <w:spacing w:after="200" w:line="360" w:lineRule="auto"/>
              <w:jc w:val="both"/>
            </w:pPr>
            <w:r w:rsidRPr="00AD0FF4">
              <w:rPr>
                <w:rFonts w:eastAsia="Times New Roman"/>
                <w:sz w:val="18"/>
                <w:szCs w:val="18"/>
              </w:rPr>
              <w:t>n.s.</w:t>
            </w:r>
          </w:p>
        </w:tc>
        <w:tc>
          <w:tcPr>
            <w:tcW w:w="1000" w:type="dxa"/>
            <w:tcBorders>
              <w:top w:val="single" w:sz="1" w:space="0" w:color="CCCCCC"/>
              <w:left w:val="single" w:sz="1" w:space="0" w:color="CCCCCC"/>
              <w:bottom w:val="single" w:sz="1" w:space="0" w:color="CCCCCC"/>
              <w:right w:val="single" w:sz="1" w:space="0" w:color="CCCCCC"/>
            </w:tcBorders>
            <w:shd w:val="clear" w:color="auto" w:fill="F5F7FA"/>
          </w:tcPr>
          <w:p w14:paraId="543468DA" w14:textId="77777777" w:rsidR="006D4392" w:rsidRPr="00AD0FF4" w:rsidRDefault="00683A75" w:rsidP="00AD0FF4">
            <w:pPr>
              <w:spacing w:after="200" w:line="360" w:lineRule="auto"/>
              <w:jc w:val="both"/>
            </w:pPr>
            <w:r w:rsidRPr="00AD0FF4">
              <w:rPr>
                <w:rFonts w:eastAsia="Times New Roman"/>
                <w:sz w:val="18"/>
                <w:szCs w:val="18"/>
              </w:rPr>
              <w:t>0.680</w:t>
            </w:r>
          </w:p>
        </w:tc>
        <w:tc>
          <w:tcPr>
            <w:tcW w:w="1300" w:type="dxa"/>
            <w:tcBorders>
              <w:top w:val="single" w:sz="1" w:space="0" w:color="CCCCCC"/>
              <w:left w:val="single" w:sz="1" w:space="0" w:color="CCCCCC"/>
              <w:bottom w:val="single" w:sz="1" w:space="0" w:color="CCCCCC"/>
              <w:right w:val="single" w:sz="1" w:space="0" w:color="CCCCCC"/>
            </w:tcBorders>
            <w:shd w:val="clear" w:color="auto" w:fill="F5F7FA"/>
          </w:tcPr>
          <w:p w14:paraId="79A74923" w14:textId="77777777" w:rsidR="006D4392" w:rsidRPr="00AD0FF4" w:rsidRDefault="00683A75" w:rsidP="00AD0FF4">
            <w:pPr>
              <w:spacing w:after="200" w:line="360" w:lineRule="auto"/>
              <w:jc w:val="both"/>
            </w:pPr>
            <w:r w:rsidRPr="00AD0FF4">
              <w:rPr>
                <w:rFonts w:eastAsia="Times New Roman"/>
                <w:sz w:val="18"/>
                <w:szCs w:val="18"/>
              </w:rPr>
              <w:t>1.470</w:t>
            </w:r>
          </w:p>
        </w:tc>
        <w:tc>
          <w:tcPr>
            <w:tcW w:w="1200" w:type="dxa"/>
            <w:tcBorders>
              <w:top w:val="single" w:sz="1" w:space="0" w:color="CCCCCC"/>
              <w:left w:val="single" w:sz="1" w:space="0" w:color="CCCCCC"/>
              <w:bottom w:val="single" w:sz="1" w:space="0" w:color="CCCCCC"/>
              <w:right w:val="single" w:sz="1" w:space="0" w:color="CCCCCC"/>
            </w:tcBorders>
            <w:shd w:val="clear" w:color="auto" w:fill="F5F7FA"/>
          </w:tcPr>
          <w:p w14:paraId="21ADAAAB" w14:textId="77777777" w:rsidR="006D4392" w:rsidRPr="00AD0FF4" w:rsidRDefault="00683A75" w:rsidP="00AD0FF4">
            <w:pPr>
              <w:spacing w:after="200" w:line="360" w:lineRule="auto"/>
              <w:jc w:val="both"/>
            </w:pPr>
            <w:r w:rsidRPr="00AD0FF4">
              <w:rPr>
                <w:rFonts w:eastAsia="Times New Roman"/>
                <w:sz w:val="18"/>
                <w:szCs w:val="18"/>
              </w:rPr>
              <w:t>17.8</w:t>
            </w:r>
          </w:p>
        </w:tc>
        <w:tc>
          <w:tcPr>
            <w:tcW w:w="1260" w:type="dxa"/>
            <w:tcBorders>
              <w:top w:val="single" w:sz="1" w:space="0" w:color="CCCCCC"/>
              <w:left w:val="single" w:sz="1" w:space="0" w:color="CCCCCC"/>
              <w:bottom w:val="single" w:sz="1" w:space="0" w:color="CCCCCC"/>
              <w:right w:val="single" w:sz="1" w:space="0" w:color="CCCCCC"/>
            </w:tcBorders>
            <w:shd w:val="clear" w:color="auto" w:fill="F5F7FA"/>
          </w:tcPr>
          <w:p w14:paraId="1E792BC7" w14:textId="77777777" w:rsidR="006D4392" w:rsidRPr="00AD0FF4" w:rsidRDefault="00683A75" w:rsidP="00AD0FF4">
            <w:pPr>
              <w:spacing w:after="200" w:line="360" w:lineRule="auto"/>
              <w:jc w:val="both"/>
            </w:pPr>
            <w:r w:rsidRPr="00AD0FF4">
              <w:rPr>
                <w:rFonts w:eastAsia="Times New Roman"/>
                <w:sz w:val="18"/>
                <w:szCs w:val="18"/>
              </w:rPr>
              <w:t>4.6</w:t>
            </w:r>
          </w:p>
        </w:tc>
      </w:tr>
      <w:tr w:rsidR="006D4392" w:rsidRPr="00AD0FF4" w14:paraId="19A83ED6" w14:textId="77777777">
        <w:tc>
          <w:tcPr>
            <w:tcW w:w="900" w:type="dxa"/>
            <w:tcBorders>
              <w:top w:val="single" w:sz="1" w:space="0" w:color="CCCCCC"/>
              <w:left w:val="single" w:sz="1" w:space="0" w:color="CCCCCC"/>
              <w:bottom w:val="single" w:sz="1" w:space="0" w:color="CCCCCC"/>
              <w:right w:val="single" w:sz="1" w:space="0" w:color="CCCCCC"/>
            </w:tcBorders>
            <w:shd w:val="clear" w:color="auto" w:fill="FFFFFF"/>
          </w:tcPr>
          <w:p w14:paraId="4369E6A4" w14:textId="77777777" w:rsidR="006D4392" w:rsidRPr="00AD0FF4" w:rsidRDefault="00683A75" w:rsidP="00AD0FF4">
            <w:pPr>
              <w:spacing w:after="200" w:line="360" w:lineRule="auto"/>
              <w:jc w:val="both"/>
            </w:pPr>
            <w:r w:rsidRPr="00AD0FF4">
              <w:rPr>
                <w:rFonts w:eastAsia="Times New Roman"/>
                <w:sz w:val="18"/>
                <w:szCs w:val="18"/>
              </w:rPr>
              <w:t>Phase 2</w:t>
            </w:r>
          </w:p>
        </w:tc>
        <w:tc>
          <w:tcPr>
            <w:tcW w:w="1400" w:type="dxa"/>
            <w:tcBorders>
              <w:top w:val="single" w:sz="1" w:space="0" w:color="CCCCCC"/>
              <w:left w:val="single" w:sz="1" w:space="0" w:color="CCCCCC"/>
              <w:bottom w:val="single" w:sz="1" w:space="0" w:color="CCCCCC"/>
              <w:right w:val="single" w:sz="1" w:space="0" w:color="CCCCCC"/>
            </w:tcBorders>
            <w:shd w:val="clear" w:color="auto" w:fill="FFFFFF"/>
          </w:tcPr>
          <w:p w14:paraId="50C1EB9B" w14:textId="77777777" w:rsidR="006D4392" w:rsidRPr="00AD0FF4" w:rsidRDefault="00683A75" w:rsidP="00AD0FF4">
            <w:pPr>
              <w:spacing w:after="200" w:line="360" w:lineRule="auto"/>
              <w:jc w:val="both"/>
            </w:pPr>
            <w:r w:rsidRPr="00AD0FF4">
              <w:rPr>
                <w:rFonts w:eastAsia="Times New Roman"/>
                <w:sz w:val="18"/>
                <w:szCs w:val="18"/>
              </w:rPr>
              <w:t>7.3539</w:t>
            </w:r>
          </w:p>
        </w:tc>
        <w:tc>
          <w:tcPr>
            <w:tcW w:w="700" w:type="dxa"/>
            <w:tcBorders>
              <w:top w:val="single" w:sz="1" w:space="0" w:color="CCCCCC"/>
              <w:left w:val="single" w:sz="1" w:space="0" w:color="CCCCCC"/>
              <w:bottom w:val="single" w:sz="1" w:space="0" w:color="CCCCCC"/>
              <w:right w:val="single" w:sz="1" w:space="0" w:color="CCCCCC"/>
            </w:tcBorders>
            <w:shd w:val="clear" w:color="auto" w:fill="FFFFFF"/>
          </w:tcPr>
          <w:p w14:paraId="3A7884D5" w14:textId="77777777" w:rsidR="006D4392" w:rsidRPr="00AD0FF4" w:rsidRDefault="00683A75" w:rsidP="00AD0FF4">
            <w:pPr>
              <w:spacing w:after="200" w:line="360" w:lineRule="auto"/>
              <w:jc w:val="both"/>
            </w:pPr>
            <w:r w:rsidRPr="00AD0FF4">
              <w:rPr>
                <w:rFonts w:eastAsia="Times New Roman"/>
                <w:sz w:val="18"/>
                <w:szCs w:val="18"/>
              </w:rPr>
              <w:t>***</w:t>
            </w:r>
          </w:p>
        </w:tc>
        <w:tc>
          <w:tcPr>
            <w:tcW w:w="1400" w:type="dxa"/>
            <w:tcBorders>
              <w:top w:val="single" w:sz="1" w:space="0" w:color="CCCCCC"/>
              <w:left w:val="single" w:sz="1" w:space="0" w:color="CCCCCC"/>
              <w:bottom w:val="single" w:sz="1" w:space="0" w:color="CCCCCC"/>
              <w:right w:val="single" w:sz="1" w:space="0" w:color="CCCCCC"/>
            </w:tcBorders>
            <w:shd w:val="clear" w:color="auto" w:fill="FFFFFF"/>
          </w:tcPr>
          <w:p w14:paraId="3C8CABF5" w14:textId="77777777" w:rsidR="006D4392" w:rsidRPr="00AD0FF4" w:rsidRDefault="00683A75" w:rsidP="00AD0FF4">
            <w:pPr>
              <w:spacing w:after="200" w:line="360" w:lineRule="auto"/>
              <w:jc w:val="both"/>
            </w:pPr>
            <w:r w:rsidRPr="00AD0FF4">
              <w:rPr>
                <w:rFonts w:eastAsia="Times New Roman"/>
                <w:sz w:val="18"/>
                <w:szCs w:val="18"/>
              </w:rPr>
              <w:t>0.5736</w:t>
            </w:r>
          </w:p>
        </w:tc>
        <w:tc>
          <w:tcPr>
            <w:tcW w:w="700" w:type="dxa"/>
            <w:tcBorders>
              <w:top w:val="single" w:sz="1" w:space="0" w:color="CCCCCC"/>
              <w:left w:val="single" w:sz="1" w:space="0" w:color="CCCCCC"/>
              <w:bottom w:val="single" w:sz="1" w:space="0" w:color="CCCCCC"/>
              <w:right w:val="single" w:sz="1" w:space="0" w:color="CCCCCC"/>
            </w:tcBorders>
            <w:shd w:val="clear" w:color="auto" w:fill="FFFFFF"/>
          </w:tcPr>
          <w:p w14:paraId="7BADA1E7" w14:textId="77777777" w:rsidR="006D4392" w:rsidRPr="00AD0FF4" w:rsidRDefault="00683A75" w:rsidP="00AD0FF4">
            <w:pPr>
              <w:spacing w:after="200" w:line="360" w:lineRule="auto"/>
              <w:jc w:val="both"/>
            </w:pPr>
            <w:r w:rsidRPr="00AD0FF4">
              <w:rPr>
                <w:rFonts w:eastAsia="Times New Roman"/>
                <w:sz w:val="18"/>
                <w:szCs w:val="18"/>
              </w:rPr>
              <w:t>***</w:t>
            </w:r>
          </w:p>
        </w:tc>
        <w:tc>
          <w:tcPr>
            <w:tcW w:w="1100" w:type="dxa"/>
            <w:tcBorders>
              <w:top w:val="single" w:sz="1" w:space="0" w:color="CCCCCC"/>
              <w:left w:val="single" w:sz="1" w:space="0" w:color="CCCCCC"/>
              <w:bottom w:val="single" w:sz="1" w:space="0" w:color="CCCCCC"/>
              <w:right w:val="single" w:sz="1" w:space="0" w:color="CCCCCC"/>
            </w:tcBorders>
            <w:shd w:val="clear" w:color="auto" w:fill="FFFFFF"/>
          </w:tcPr>
          <w:p w14:paraId="4F291B32" w14:textId="77777777" w:rsidR="006D4392" w:rsidRPr="00AD0FF4" w:rsidRDefault="00683A75" w:rsidP="00AD0FF4">
            <w:pPr>
              <w:spacing w:after="200" w:line="360" w:lineRule="auto"/>
              <w:jc w:val="both"/>
            </w:pPr>
            <w:r w:rsidRPr="00AD0FF4">
              <w:rPr>
                <w:rFonts w:eastAsia="Times New Roman"/>
                <w:sz w:val="18"/>
                <w:szCs w:val="18"/>
              </w:rPr>
              <w:t>0.0609</w:t>
            </w:r>
          </w:p>
        </w:tc>
        <w:tc>
          <w:tcPr>
            <w:tcW w:w="700" w:type="dxa"/>
            <w:tcBorders>
              <w:top w:val="single" w:sz="1" w:space="0" w:color="CCCCCC"/>
              <w:left w:val="single" w:sz="1" w:space="0" w:color="CCCCCC"/>
              <w:bottom w:val="single" w:sz="1" w:space="0" w:color="CCCCCC"/>
              <w:right w:val="single" w:sz="1" w:space="0" w:color="CCCCCC"/>
            </w:tcBorders>
            <w:shd w:val="clear" w:color="auto" w:fill="FFFFFF"/>
          </w:tcPr>
          <w:p w14:paraId="770525CD" w14:textId="77777777" w:rsidR="006D4392" w:rsidRPr="00AD0FF4" w:rsidRDefault="00683A75" w:rsidP="00AD0FF4">
            <w:pPr>
              <w:spacing w:after="200" w:line="360" w:lineRule="auto"/>
              <w:jc w:val="both"/>
            </w:pPr>
            <w:r w:rsidRPr="00AD0FF4">
              <w:rPr>
                <w:rFonts w:eastAsia="Times New Roman"/>
                <w:sz w:val="18"/>
                <w:szCs w:val="18"/>
              </w:rPr>
              <w:t>*</w:t>
            </w:r>
          </w:p>
        </w:tc>
        <w:tc>
          <w:tcPr>
            <w:tcW w:w="1000" w:type="dxa"/>
            <w:tcBorders>
              <w:top w:val="single" w:sz="1" w:space="0" w:color="CCCCCC"/>
              <w:left w:val="single" w:sz="1" w:space="0" w:color="CCCCCC"/>
              <w:bottom w:val="single" w:sz="1" w:space="0" w:color="CCCCCC"/>
              <w:right w:val="single" w:sz="1" w:space="0" w:color="CCCCCC"/>
            </w:tcBorders>
            <w:shd w:val="clear" w:color="auto" w:fill="FFFFFF"/>
          </w:tcPr>
          <w:p w14:paraId="1B88251B" w14:textId="77777777" w:rsidR="006D4392" w:rsidRPr="00AD0FF4" w:rsidRDefault="00683A75" w:rsidP="00AD0FF4">
            <w:pPr>
              <w:spacing w:after="200" w:line="360" w:lineRule="auto"/>
              <w:jc w:val="both"/>
            </w:pPr>
            <w:r w:rsidRPr="00AD0FF4">
              <w:rPr>
                <w:rFonts w:eastAsia="Times New Roman"/>
                <w:sz w:val="18"/>
                <w:szCs w:val="18"/>
              </w:rPr>
              <w:t>0.691</w:t>
            </w:r>
          </w:p>
        </w:tc>
        <w:tc>
          <w:tcPr>
            <w:tcW w:w="1300" w:type="dxa"/>
            <w:tcBorders>
              <w:top w:val="single" w:sz="1" w:space="0" w:color="CCCCCC"/>
              <w:left w:val="single" w:sz="1" w:space="0" w:color="CCCCCC"/>
              <w:bottom w:val="single" w:sz="1" w:space="0" w:color="CCCCCC"/>
              <w:right w:val="single" w:sz="1" w:space="0" w:color="CCCCCC"/>
            </w:tcBorders>
            <w:shd w:val="clear" w:color="auto" w:fill="FFFFFF"/>
          </w:tcPr>
          <w:p w14:paraId="51044B8F" w14:textId="77777777" w:rsidR="006D4392" w:rsidRPr="00AD0FF4" w:rsidRDefault="00683A75" w:rsidP="00AD0FF4">
            <w:pPr>
              <w:spacing w:after="200" w:line="360" w:lineRule="auto"/>
              <w:jc w:val="both"/>
            </w:pPr>
            <w:r w:rsidRPr="00AD0FF4">
              <w:rPr>
                <w:rFonts w:eastAsia="Times New Roman"/>
                <w:sz w:val="18"/>
                <w:szCs w:val="18"/>
              </w:rPr>
              <w:t>1.447</w:t>
            </w:r>
          </w:p>
        </w:tc>
        <w:tc>
          <w:tcPr>
            <w:tcW w:w="1200" w:type="dxa"/>
            <w:tcBorders>
              <w:top w:val="single" w:sz="1" w:space="0" w:color="CCCCCC"/>
              <w:left w:val="single" w:sz="1" w:space="0" w:color="CCCCCC"/>
              <w:bottom w:val="single" w:sz="1" w:space="0" w:color="CCCCCC"/>
              <w:right w:val="single" w:sz="1" w:space="0" w:color="CCCCCC"/>
            </w:tcBorders>
            <w:shd w:val="clear" w:color="auto" w:fill="FFFFFF"/>
          </w:tcPr>
          <w:p w14:paraId="2CD3831E" w14:textId="77777777" w:rsidR="006D4392" w:rsidRPr="00AD0FF4" w:rsidRDefault="00683A75" w:rsidP="00AD0FF4">
            <w:pPr>
              <w:spacing w:after="200" w:line="360" w:lineRule="auto"/>
              <w:jc w:val="both"/>
            </w:pPr>
            <w:r w:rsidRPr="00AD0FF4">
              <w:rPr>
                <w:rFonts w:eastAsia="Times New Roman"/>
                <w:sz w:val="18"/>
                <w:szCs w:val="18"/>
              </w:rPr>
              <w:t>5.7</w:t>
            </w:r>
          </w:p>
        </w:tc>
        <w:tc>
          <w:tcPr>
            <w:tcW w:w="1260" w:type="dxa"/>
            <w:tcBorders>
              <w:top w:val="single" w:sz="1" w:space="0" w:color="CCCCCC"/>
              <w:left w:val="single" w:sz="1" w:space="0" w:color="CCCCCC"/>
              <w:bottom w:val="single" w:sz="1" w:space="0" w:color="CCCCCC"/>
              <w:right w:val="single" w:sz="1" w:space="0" w:color="CCCCCC"/>
            </w:tcBorders>
            <w:shd w:val="clear" w:color="auto" w:fill="FFFFFF"/>
          </w:tcPr>
          <w:p w14:paraId="4959EB64" w14:textId="77777777" w:rsidR="006D4392" w:rsidRPr="00AD0FF4" w:rsidRDefault="00683A75" w:rsidP="00AD0FF4">
            <w:pPr>
              <w:spacing w:after="200" w:line="360" w:lineRule="auto"/>
              <w:jc w:val="both"/>
            </w:pPr>
            <w:r w:rsidRPr="00AD0FF4">
              <w:rPr>
                <w:rFonts w:eastAsia="Times New Roman"/>
                <w:sz w:val="18"/>
                <w:szCs w:val="18"/>
              </w:rPr>
              <w:t>0.7</w:t>
            </w:r>
          </w:p>
        </w:tc>
      </w:tr>
      <w:tr w:rsidR="006D4392" w:rsidRPr="00AD0FF4" w14:paraId="79E857DE" w14:textId="77777777">
        <w:tc>
          <w:tcPr>
            <w:tcW w:w="900" w:type="dxa"/>
            <w:tcBorders>
              <w:top w:val="single" w:sz="1" w:space="0" w:color="CCCCCC"/>
              <w:left w:val="single" w:sz="1" w:space="0" w:color="CCCCCC"/>
              <w:bottom w:val="single" w:sz="1" w:space="0" w:color="CCCCCC"/>
              <w:right w:val="single" w:sz="1" w:space="0" w:color="CCCCCC"/>
            </w:tcBorders>
            <w:shd w:val="clear" w:color="auto" w:fill="F5F7FA"/>
          </w:tcPr>
          <w:p w14:paraId="667F539C" w14:textId="77777777" w:rsidR="006D4392" w:rsidRPr="00AD0FF4" w:rsidRDefault="00683A75" w:rsidP="00AD0FF4">
            <w:pPr>
              <w:spacing w:after="200" w:line="360" w:lineRule="auto"/>
              <w:jc w:val="both"/>
            </w:pPr>
            <w:r w:rsidRPr="00AD0FF4">
              <w:rPr>
                <w:rFonts w:eastAsia="Times New Roman"/>
                <w:sz w:val="18"/>
                <w:szCs w:val="18"/>
              </w:rPr>
              <w:t>Phase 3</w:t>
            </w:r>
          </w:p>
        </w:tc>
        <w:tc>
          <w:tcPr>
            <w:tcW w:w="1400" w:type="dxa"/>
            <w:tcBorders>
              <w:top w:val="single" w:sz="1" w:space="0" w:color="CCCCCC"/>
              <w:left w:val="single" w:sz="1" w:space="0" w:color="CCCCCC"/>
              <w:bottom w:val="single" w:sz="1" w:space="0" w:color="CCCCCC"/>
              <w:right w:val="single" w:sz="1" w:space="0" w:color="CCCCCC"/>
            </w:tcBorders>
            <w:shd w:val="clear" w:color="auto" w:fill="F5F7FA"/>
          </w:tcPr>
          <w:p w14:paraId="3DB76688" w14:textId="77777777" w:rsidR="006D4392" w:rsidRPr="00AD0FF4" w:rsidRDefault="00683A75" w:rsidP="00AD0FF4">
            <w:pPr>
              <w:spacing w:after="200" w:line="360" w:lineRule="auto"/>
              <w:jc w:val="both"/>
            </w:pPr>
            <w:r w:rsidRPr="00AD0FF4">
              <w:rPr>
                <w:rFonts w:eastAsia="Times New Roman"/>
                <w:sz w:val="18"/>
                <w:szCs w:val="18"/>
              </w:rPr>
              <w:t>12.2821</w:t>
            </w:r>
          </w:p>
        </w:tc>
        <w:tc>
          <w:tcPr>
            <w:tcW w:w="700" w:type="dxa"/>
            <w:tcBorders>
              <w:top w:val="single" w:sz="1" w:space="0" w:color="CCCCCC"/>
              <w:left w:val="single" w:sz="1" w:space="0" w:color="CCCCCC"/>
              <w:bottom w:val="single" w:sz="1" w:space="0" w:color="CCCCCC"/>
              <w:right w:val="single" w:sz="1" w:space="0" w:color="CCCCCC"/>
            </w:tcBorders>
            <w:shd w:val="clear" w:color="auto" w:fill="F5F7FA"/>
          </w:tcPr>
          <w:p w14:paraId="3FE54799" w14:textId="77777777" w:rsidR="006D4392" w:rsidRPr="00AD0FF4" w:rsidRDefault="00683A75" w:rsidP="00AD0FF4">
            <w:pPr>
              <w:spacing w:after="200" w:line="360" w:lineRule="auto"/>
              <w:jc w:val="both"/>
            </w:pPr>
            <w:r w:rsidRPr="00AD0FF4">
              <w:rPr>
                <w:rFonts w:eastAsia="Times New Roman"/>
                <w:sz w:val="18"/>
                <w:szCs w:val="18"/>
              </w:rPr>
              <w:t>***</w:t>
            </w:r>
          </w:p>
        </w:tc>
        <w:tc>
          <w:tcPr>
            <w:tcW w:w="1400" w:type="dxa"/>
            <w:tcBorders>
              <w:top w:val="single" w:sz="1" w:space="0" w:color="CCCCCC"/>
              <w:left w:val="single" w:sz="1" w:space="0" w:color="CCCCCC"/>
              <w:bottom w:val="single" w:sz="1" w:space="0" w:color="CCCCCC"/>
              <w:right w:val="single" w:sz="1" w:space="0" w:color="CCCCCC"/>
            </w:tcBorders>
            <w:shd w:val="clear" w:color="auto" w:fill="F5F7FA"/>
          </w:tcPr>
          <w:p w14:paraId="59F88A67" w14:textId="77777777" w:rsidR="006D4392" w:rsidRPr="00AD0FF4" w:rsidRDefault="00683A75" w:rsidP="00AD0FF4">
            <w:pPr>
              <w:spacing w:after="200" w:line="360" w:lineRule="auto"/>
              <w:jc w:val="both"/>
            </w:pPr>
            <w:r w:rsidRPr="00AD0FF4">
              <w:rPr>
                <w:rFonts w:eastAsia="Times New Roman"/>
                <w:sz w:val="18"/>
                <w:szCs w:val="18"/>
              </w:rPr>
              <w:t>1.3422</w:t>
            </w:r>
          </w:p>
        </w:tc>
        <w:tc>
          <w:tcPr>
            <w:tcW w:w="700" w:type="dxa"/>
            <w:tcBorders>
              <w:top w:val="single" w:sz="1" w:space="0" w:color="CCCCCC"/>
              <w:left w:val="single" w:sz="1" w:space="0" w:color="CCCCCC"/>
              <w:bottom w:val="single" w:sz="1" w:space="0" w:color="CCCCCC"/>
              <w:right w:val="single" w:sz="1" w:space="0" w:color="CCCCCC"/>
            </w:tcBorders>
            <w:shd w:val="clear" w:color="auto" w:fill="F5F7FA"/>
          </w:tcPr>
          <w:p w14:paraId="2EE278BF" w14:textId="77777777" w:rsidR="006D4392" w:rsidRPr="00AD0FF4" w:rsidRDefault="00683A75" w:rsidP="00AD0FF4">
            <w:pPr>
              <w:spacing w:after="200" w:line="360" w:lineRule="auto"/>
              <w:jc w:val="both"/>
            </w:pPr>
            <w:r w:rsidRPr="00AD0FF4">
              <w:rPr>
                <w:rFonts w:eastAsia="Times New Roman"/>
                <w:sz w:val="18"/>
                <w:szCs w:val="18"/>
              </w:rPr>
              <w:t>***</w:t>
            </w:r>
          </w:p>
        </w:tc>
        <w:tc>
          <w:tcPr>
            <w:tcW w:w="1100" w:type="dxa"/>
            <w:tcBorders>
              <w:top w:val="single" w:sz="1" w:space="0" w:color="CCCCCC"/>
              <w:left w:val="single" w:sz="1" w:space="0" w:color="CCCCCC"/>
              <w:bottom w:val="single" w:sz="1" w:space="0" w:color="CCCCCC"/>
              <w:right w:val="single" w:sz="1" w:space="0" w:color="CCCCCC"/>
            </w:tcBorders>
            <w:shd w:val="clear" w:color="auto" w:fill="F5F7FA"/>
          </w:tcPr>
          <w:p w14:paraId="413EFD5F" w14:textId="77777777" w:rsidR="006D4392" w:rsidRPr="00AD0FF4" w:rsidRDefault="00683A75" w:rsidP="00AD0FF4">
            <w:pPr>
              <w:spacing w:after="200" w:line="360" w:lineRule="auto"/>
              <w:jc w:val="both"/>
            </w:pPr>
            <w:r w:rsidRPr="00AD0FF4">
              <w:rPr>
                <w:rFonts w:eastAsia="Times New Roman"/>
                <w:sz w:val="18"/>
                <w:szCs w:val="18"/>
              </w:rPr>
              <w:t>0.0579</w:t>
            </w:r>
          </w:p>
        </w:tc>
        <w:tc>
          <w:tcPr>
            <w:tcW w:w="700" w:type="dxa"/>
            <w:tcBorders>
              <w:top w:val="single" w:sz="1" w:space="0" w:color="CCCCCC"/>
              <w:left w:val="single" w:sz="1" w:space="0" w:color="CCCCCC"/>
              <w:bottom w:val="single" w:sz="1" w:space="0" w:color="CCCCCC"/>
              <w:right w:val="single" w:sz="1" w:space="0" w:color="CCCCCC"/>
            </w:tcBorders>
            <w:shd w:val="clear" w:color="auto" w:fill="F5F7FA"/>
          </w:tcPr>
          <w:p w14:paraId="288AF204" w14:textId="77777777" w:rsidR="006D4392" w:rsidRPr="00AD0FF4" w:rsidRDefault="00683A75" w:rsidP="00AD0FF4">
            <w:pPr>
              <w:spacing w:after="200" w:line="360" w:lineRule="auto"/>
              <w:jc w:val="both"/>
            </w:pPr>
            <w:r w:rsidRPr="00AD0FF4">
              <w:rPr>
                <w:rFonts w:eastAsia="Times New Roman"/>
                <w:sz w:val="18"/>
                <w:szCs w:val="18"/>
              </w:rPr>
              <w:t>n.s.</w:t>
            </w:r>
          </w:p>
        </w:tc>
        <w:tc>
          <w:tcPr>
            <w:tcW w:w="1000" w:type="dxa"/>
            <w:tcBorders>
              <w:top w:val="single" w:sz="1" w:space="0" w:color="CCCCCC"/>
              <w:left w:val="single" w:sz="1" w:space="0" w:color="CCCCCC"/>
              <w:bottom w:val="single" w:sz="1" w:space="0" w:color="CCCCCC"/>
              <w:right w:val="single" w:sz="1" w:space="0" w:color="CCCCCC"/>
            </w:tcBorders>
            <w:shd w:val="clear" w:color="auto" w:fill="F5F7FA"/>
          </w:tcPr>
          <w:p w14:paraId="75734862" w14:textId="77777777" w:rsidR="006D4392" w:rsidRPr="00AD0FF4" w:rsidRDefault="00683A75" w:rsidP="00AD0FF4">
            <w:pPr>
              <w:spacing w:after="200" w:line="360" w:lineRule="auto"/>
              <w:jc w:val="both"/>
            </w:pPr>
            <w:r w:rsidRPr="00AD0FF4">
              <w:rPr>
                <w:rFonts w:eastAsia="Times New Roman"/>
                <w:sz w:val="18"/>
                <w:szCs w:val="18"/>
              </w:rPr>
              <w:t>0.672</w:t>
            </w:r>
          </w:p>
        </w:tc>
        <w:tc>
          <w:tcPr>
            <w:tcW w:w="1300" w:type="dxa"/>
            <w:tcBorders>
              <w:top w:val="single" w:sz="1" w:space="0" w:color="CCCCCC"/>
              <w:left w:val="single" w:sz="1" w:space="0" w:color="CCCCCC"/>
              <w:bottom w:val="single" w:sz="1" w:space="0" w:color="CCCCCC"/>
              <w:right w:val="single" w:sz="1" w:space="0" w:color="CCCCCC"/>
            </w:tcBorders>
            <w:shd w:val="clear" w:color="auto" w:fill="F5F7FA"/>
          </w:tcPr>
          <w:p w14:paraId="62ACDC00" w14:textId="77777777" w:rsidR="006D4392" w:rsidRPr="00AD0FF4" w:rsidRDefault="00683A75" w:rsidP="00AD0FF4">
            <w:pPr>
              <w:spacing w:after="200" w:line="360" w:lineRule="auto"/>
              <w:jc w:val="both"/>
            </w:pPr>
            <w:r w:rsidRPr="00AD0FF4">
              <w:rPr>
                <w:rFonts w:eastAsia="Times New Roman"/>
                <w:sz w:val="18"/>
                <w:szCs w:val="18"/>
              </w:rPr>
              <w:t>1.488</w:t>
            </w:r>
          </w:p>
        </w:tc>
        <w:tc>
          <w:tcPr>
            <w:tcW w:w="1200" w:type="dxa"/>
            <w:tcBorders>
              <w:top w:val="single" w:sz="1" w:space="0" w:color="CCCCCC"/>
              <w:left w:val="single" w:sz="1" w:space="0" w:color="CCCCCC"/>
              <w:bottom w:val="single" w:sz="1" w:space="0" w:color="CCCCCC"/>
              <w:right w:val="single" w:sz="1" w:space="0" w:color="CCCCCC"/>
            </w:tcBorders>
            <w:shd w:val="clear" w:color="auto" w:fill="F5F7FA"/>
          </w:tcPr>
          <w:p w14:paraId="1C80C458" w14:textId="77777777" w:rsidR="006D4392" w:rsidRPr="00AD0FF4" w:rsidRDefault="00683A75" w:rsidP="00AD0FF4">
            <w:pPr>
              <w:spacing w:after="200" w:line="360" w:lineRule="auto"/>
              <w:jc w:val="both"/>
            </w:pPr>
            <w:r w:rsidRPr="00AD0FF4">
              <w:rPr>
                <w:rFonts w:eastAsia="Times New Roman"/>
                <w:sz w:val="18"/>
                <w:szCs w:val="18"/>
              </w:rPr>
              <w:t>5.2</w:t>
            </w:r>
          </w:p>
        </w:tc>
        <w:tc>
          <w:tcPr>
            <w:tcW w:w="1260" w:type="dxa"/>
            <w:tcBorders>
              <w:top w:val="single" w:sz="1" w:space="0" w:color="CCCCCC"/>
              <w:left w:val="single" w:sz="1" w:space="0" w:color="CCCCCC"/>
              <w:bottom w:val="single" w:sz="1" w:space="0" w:color="CCCCCC"/>
              <w:right w:val="single" w:sz="1" w:space="0" w:color="CCCCCC"/>
            </w:tcBorders>
            <w:shd w:val="clear" w:color="auto" w:fill="F5F7FA"/>
          </w:tcPr>
          <w:p w14:paraId="12F91D5E" w14:textId="77777777" w:rsidR="006D4392" w:rsidRPr="00AD0FF4" w:rsidRDefault="00683A75" w:rsidP="00AD0FF4">
            <w:pPr>
              <w:spacing w:after="200" w:line="360" w:lineRule="auto"/>
              <w:jc w:val="both"/>
            </w:pPr>
            <w:r w:rsidRPr="00AD0FF4">
              <w:rPr>
                <w:rFonts w:eastAsia="Times New Roman"/>
                <w:sz w:val="18"/>
                <w:szCs w:val="18"/>
              </w:rPr>
              <w:t>0.9</w:t>
            </w:r>
          </w:p>
        </w:tc>
      </w:tr>
    </w:tbl>
    <w:p w14:paraId="617FCCBE" w14:textId="77777777" w:rsidR="006D4392" w:rsidRPr="00AD0FF4" w:rsidRDefault="00683A75" w:rsidP="00AD0FF4">
      <w:pPr>
        <w:spacing w:after="200" w:line="360" w:lineRule="auto"/>
        <w:jc w:val="both"/>
      </w:pPr>
      <w:r w:rsidRPr="00AD0FF4">
        <w:rPr>
          <w:sz w:val="20"/>
          <w:szCs w:val="20"/>
        </w:rPr>
        <w:t>Notes: GDP and Gini intercepts recovered by lincom (HAC SE). θ = institutional parameter indexing ED/EE balance (higher θ = stronger ED; lower θ = stronger EE). giniratio (= Mgini/Dgini) = empirical EE intensity indicator; CA = empirical ED indicator (corporate density). CA and GDP growth rates are phase averages from raw data.</w:t>
      </w:r>
    </w:p>
    <w:p w14:paraId="7EDE80D7" w14:textId="77777777" w:rsidR="006D4392" w:rsidRPr="00AD0FF4" w:rsidRDefault="006D4392" w:rsidP="00AD0FF4">
      <w:pPr>
        <w:spacing w:after="200" w:line="360" w:lineRule="auto"/>
        <w:jc w:val="both"/>
      </w:pPr>
    </w:p>
    <w:p w14:paraId="3901C6EB" w14:textId="77777777" w:rsidR="006D4392" w:rsidRPr="00AD0FF4" w:rsidRDefault="00683A75" w:rsidP="00AD0FF4">
      <w:pPr>
        <w:pStyle w:val="2"/>
        <w:spacing w:before="300" w:after="150" w:line="360" w:lineRule="auto"/>
        <w:jc w:val="both"/>
      </w:pPr>
      <w:r w:rsidRPr="00AD0FF4">
        <w:rPr>
          <w:rFonts w:eastAsia="Times New Roman"/>
          <w:b/>
          <w:bCs/>
        </w:rPr>
        <w:lastRenderedPageBreak/>
        <w:t>5.2 GDP Equation Results: The Institutional Signature of the Lost Decades</w:t>
      </w:r>
    </w:p>
    <w:p w14:paraId="1439074E" w14:textId="77777777" w:rsidR="006D4392" w:rsidRPr="00AD0FF4" w:rsidRDefault="00683A75" w:rsidP="00AD0FF4">
      <w:pPr>
        <w:spacing w:after="200" w:line="360" w:lineRule="auto"/>
        <w:jc w:val="both"/>
      </w:pPr>
      <w:r w:rsidRPr="00AD0FF4">
        <w:rPr>
          <w:rFonts w:eastAsia="Times New Roman"/>
        </w:rPr>
        <w:t>The GDP results establish the central empirical finding of this paper. The corporate asset elasticity of growth undergoes a dramatic non-monotonic trajectory across the three phases: 0.229*** in Phase 1 → 0.018 n.s. in Phase 2 → 0.138*** in Phase 3. This is the clearest possible empirical signature of the EET in action.</w:t>
      </w:r>
    </w:p>
    <w:p w14:paraId="6AD9FE52" w14:textId="77777777" w:rsidR="006D4392" w:rsidRPr="00AD0FF4" w:rsidRDefault="00683A75" w:rsidP="00AD0FF4">
      <w:pPr>
        <w:spacing w:after="200" w:line="360" w:lineRule="auto"/>
        <w:jc w:val="both"/>
      </w:pPr>
      <w:r w:rsidRPr="00AD0FF4">
        <w:rPr>
          <w:rFonts w:eastAsia="Times New Roman"/>
        </w:rPr>
        <w:t>Phase 1 (0.229***): Corporate assets function as the dominant growth driver, consistent with Japan's developmental state heritage. Each 1 percent increase in per capita CA generates 0.23 percent increase in per capita GDP — a strong and institutionally coherent relationship. The EE variable is statistically insignificant in Phase 1, consistent with GTED's Proposition 3 prediction that redistribution does not significantly harm growth when ED institutions are strong.</w:t>
      </w:r>
    </w:p>
    <w:p w14:paraId="47FE7877" w14:textId="77777777" w:rsidR="006D4392" w:rsidRPr="00AD0FF4" w:rsidRDefault="00683A75" w:rsidP="00AD0FF4">
      <w:pPr>
        <w:spacing w:after="200" w:line="360" w:lineRule="auto"/>
        <w:jc w:val="both"/>
      </w:pPr>
      <w:r w:rsidRPr="00AD0FF4">
        <w:rPr>
          <w:rFonts w:eastAsia="Times New Roman"/>
        </w:rPr>
        <w:t>Phase 2 (0.018 n.s.): The corporate asset elasticity collapses entirely — this is the empirical signature of the Lost Decades. The institutional relationship between corporate asset accumulation and output generation has been severed by EE capture. The EE variable becomes positive and significant (+0.699***) — not because redistribution generates growth, but because in a stagnant economy where CA is inoperative, government spending and social transfers constitute a larger share of what little growth occurs. The GDP intercept collapses from 13.08*** to 7.35*** — a structural downshift of extraordinary magnitude, confirming the institutional break rather than a cyclical slowdown.</w:t>
      </w:r>
    </w:p>
    <w:p w14:paraId="08603DA2" w14:textId="77777777" w:rsidR="006D4392" w:rsidRPr="00AD0FF4" w:rsidRDefault="00683A75" w:rsidP="00AD0FF4">
      <w:pPr>
        <w:spacing w:after="200" w:line="360" w:lineRule="auto"/>
        <w:jc w:val="both"/>
      </w:pPr>
      <w:r w:rsidRPr="00AD0FF4">
        <w:rPr>
          <w:rFonts w:eastAsia="Times New Roman"/>
        </w:rPr>
        <w:t>Phase 3 (0.138***): Abenomics partially restores the CA-growth relationship. The elasticity recovers to 0.138***, statistically significant and economically meaningful — monetary easing, yen depreciation, and corporate governance reforms (requiring higher ROE targets) partially reactivated the performance-reward linkage. The GDP intercept recovers dramatically to 12.28*** — consistent with the reflation of asset values under QQE. However, the EE variable turns marginally negative (−0.978++), suggesting that redistributive pressure has not abated and continues to impose a partial growth drag. Crucially, the structural reform component of Abenomics — the third arrow — was largely captured by EE interests or abandoned, leaving the institutional root cause unaddressed.</w:t>
      </w:r>
    </w:p>
    <w:p w14:paraId="6F291F81" w14:textId="77777777" w:rsidR="006D4392" w:rsidRPr="00AD0FF4" w:rsidRDefault="00683A75" w:rsidP="00AD0FF4">
      <w:pPr>
        <w:pStyle w:val="2"/>
        <w:spacing w:before="300" w:after="150" w:line="360" w:lineRule="auto"/>
        <w:jc w:val="both"/>
      </w:pPr>
      <w:r w:rsidRPr="00AD0FF4">
        <w:rPr>
          <w:rFonts w:eastAsia="Times New Roman"/>
          <w:b/>
          <w:bCs/>
        </w:rPr>
        <w:t>5.3 Gini Equation Results: The Absence of Co-Prosperity</w:t>
      </w:r>
    </w:p>
    <w:p w14:paraId="17AA85C9" w14:textId="77777777" w:rsidR="006D4392" w:rsidRPr="00AD0FF4" w:rsidRDefault="00683A75" w:rsidP="00AD0FF4">
      <w:pPr>
        <w:spacing w:after="200" w:line="360" w:lineRule="auto"/>
        <w:jc w:val="both"/>
      </w:pPr>
      <w:r w:rsidRPr="00AD0FF4">
        <w:rPr>
          <w:rFonts w:eastAsia="Times New Roman"/>
        </w:rPr>
        <w:lastRenderedPageBreak/>
        <w:t>The Gini equation reveals Japan's most consequential institutional failure: the persistent inability to achieve co-prosperity — the simultaneous advancement of growth and distributional improvement that GTED identifies as the hallmark of a mature corporate economy operating under ED.</w:t>
      </w:r>
    </w:p>
    <w:p w14:paraId="03DB357B" w14:textId="77777777" w:rsidR="006D4392" w:rsidRPr="00AD0FF4" w:rsidRDefault="00683A75" w:rsidP="00AD0FF4">
      <w:pPr>
        <w:spacing w:after="200" w:line="360" w:lineRule="auto"/>
        <w:jc w:val="both"/>
      </w:pPr>
      <w:r w:rsidRPr="00AD0FF4">
        <w:rPr>
          <w:rFonts w:eastAsia="Times New Roman"/>
        </w:rPr>
        <w:t>CA→Gini remains positive across all three phases: 0.010*** in Phase 1, 0.005 n.s. in Phase 2, and 0.043*** in Phase 3. In a fully mature corporate economy (as China's Xi phase demonstrates), CA growth eventually compresses market inequality as broad-based employment and wage growth become the dominant distributional force (Jwa, 2026b). Japan has not reached this threshold. The positive CA→Gini coefficient in Phase 3 (+0.043***) indicates that corporate asset growth under Abenomics widened inequality — consistent with a partial monetary reflation that disproportionately benefited asset owners rather than generating broad-based wage growth.</w:t>
      </w:r>
    </w:p>
    <w:p w14:paraId="0B9F71C6" w14:textId="77777777" w:rsidR="006D4392" w:rsidRPr="00AD0FF4" w:rsidRDefault="00683A75" w:rsidP="00AD0FF4">
      <w:pPr>
        <w:spacing w:after="200" w:line="360" w:lineRule="auto"/>
        <w:jc w:val="both"/>
      </w:pPr>
      <w:r w:rsidRPr="00AD0FF4">
        <w:rPr>
          <w:rFonts w:eastAsia="Times New Roman"/>
        </w:rPr>
        <w:t>The Gini intercept trajectory is particularly revealing: Phase 1 (0.837***) → Phase 2 (0.574***) → Phase 3 (1.342***). The Phase 3 intercept surge (+0.769*** above Phase 2) indicates structural inequality deepening — a baseline level of market income inequality that has risen substantially beyond what CA growth or redistribution can explain. This structural Gini increase reflects the labor market dualism that Abenomics exacerbated: irregular employment expanded dramatically under the third arrow's labor market measures, creating a persistent income gap between regular and irregular workers that the corporate economy has not closed.</w:t>
      </w:r>
    </w:p>
    <w:p w14:paraId="7EDC7458" w14:textId="77777777" w:rsidR="006D4392" w:rsidRPr="00AD0FF4" w:rsidRDefault="00683A75" w:rsidP="00AD0FF4">
      <w:pPr>
        <w:spacing w:after="200" w:line="360" w:lineRule="auto"/>
        <w:jc w:val="both"/>
      </w:pPr>
      <w:r w:rsidRPr="00AD0FF4">
        <w:rPr>
          <w:rFonts w:eastAsia="Times New Roman"/>
        </w:rPr>
        <w:t>The EE→Gini coefficient remains positive and significant across all phases (0.709***, 0.823***, 0.497***), confirming GTED's Proposition 4: EE redistribution paradoxically worsens market income inequality by suppressing the corporate growth that would otherwise generate endogenous shared prosperity. Japan is a perfect illustration: three decades of welfare state expansion have coincided with three decades of rising market inequality, because the redistribution suppressed the CA accumulation that is the only confirmed engine of broad-based income growth.</w:t>
      </w:r>
    </w:p>
    <w:p w14:paraId="6A6855BE" w14:textId="77777777" w:rsidR="006D4392" w:rsidRPr="00AD0FF4" w:rsidRDefault="006D4392" w:rsidP="00AD0FF4">
      <w:pPr>
        <w:spacing w:after="200" w:line="360" w:lineRule="auto"/>
        <w:jc w:val="both"/>
      </w:pPr>
    </w:p>
    <w:p w14:paraId="3FAE4AF1" w14:textId="77777777" w:rsidR="006D4392" w:rsidRPr="00AD0FF4" w:rsidRDefault="00683A75" w:rsidP="00AD0FF4">
      <w:pPr>
        <w:spacing w:before="300" w:after="150" w:line="360" w:lineRule="auto"/>
        <w:jc w:val="both"/>
      </w:pPr>
      <w:r w:rsidRPr="00AD0FF4">
        <w:rPr>
          <w:b/>
          <w:bCs/>
          <w:sz w:val="26"/>
          <w:szCs w:val="26"/>
        </w:rPr>
        <w:t>5.4 Diagnostic Tests</w:t>
      </w:r>
    </w:p>
    <w:p w14:paraId="217FD4B8" w14:textId="5BFB8E04" w:rsidR="006D4392" w:rsidRPr="00AD0FF4" w:rsidRDefault="00683A75" w:rsidP="00AD0FF4">
      <w:pPr>
        <w:spacing w:after="200" w:line="360" w:lineRule="auto"/>
        <w:jc w:val="both"/>
      </w:pPr>
      <w:r w:rsidRPr="00AD0FF4">
        <w:t xml:space="preserve">Table A1 in the Appendix reports full diagnostic results. In summary: ADF unit root tests confirm that ln(pcCA), ln(pcGDP), and ln(Gini_market) are stationary in levels I(0), while ln(giniratio) </w:t>
      </w:r>
      <w:r w:rsidRPr="00AD0FF4">
        <w:lastRenderedPageBreak/>
        <w:t>and ln(openness) are I(1); HAC standard errors (Newey-West, maxlags=3) address the resulting serial correlation (DW: GDP equation=1.08, Gini equation=1.32). White tests confirm homoskedasticity in both equations (GDP: p=0.622; Gini: p=0.355), so HC1 robust SE serve as a secondary check. Chow tests confirm both structural breaks as statistically significant (D1992: F=10.62, p&lt;0.001; D2013: F=2.39, p=0.077), validating the three-regime specification. All diagnostics support the use of OLS with HAC standard errors as the primary inference framework.</w:t>
      </w:r>
    </w:p>
    <w:p w14:paraId="4010655E" w14:textId="77777777" w:rsidR="006D4392" w:rsidRPr="00AD0FF4" w:rsidRDefault="00683A75" w:rsidP="00AD0FF4">
      <w:pPr>
        <w:pStyle w:val="1"/>
        <w:spacing w:before="400" w:after="200" w:line="360" w:lineRule="auto"/>
        <w:jc w:val="both"/>
      </w:pPr>
      <w:r w:rsidRPr="00AD0FF4">
        <w:rPr>
          <w:rFonts w:eastAsia="Times New Roman"/>
          <w:b/>
          <w:bCs/>
          <w:sz w:val="28"/>
          <w:szCs w:val="28"/>
        </w:rPr>
        <w:t>6. Interpretation: Japan as the East Asian EET Case</w:t>
      </w:r>
    </w:p>
    <w:p w14:paraId="500DAEC6" w14:textId="77777777" w:rsidR="006D4392" w:rsidRPr="00AD0FF4" w:rsidRDefault="00683A75" w:rsidP="00AD0FF4">
      <w:pPr>
        <w:pStyle w:val="2"/>
        <w:spacing w:before="300" w:after="150" w:line="360" w:lineRule="auto"/>
        <w:jc w:val="both"/>
      </w:pPr>
      <w:r w:rsidRPr="00AD0FF4">
        <w:rPr>
          <w:rFonts w:eastAsia="Times New Roman"/>
          <w:b/>
          <w:bCs/>
        </w:rPr>
        <w:t>6.1 The Lost Decades as Institutional Failure</w:t>
      </w:r>
    </w:p>
    <w:p w14:paraId="37F6C3C9" w14:textId="77777777" w:rsidR="006D4392" w:rsidRPr="00AD0FF4" w:rsidRDefault="00683A75" w:rsidP="00AD0FF4">
      <w:pPr>
        <w:spacing w:after="200" w:line="360" w:lineRule="auto"/>
        <w:jc w:val="both"/>
      </w:pPr>
      <w:r w:rsidRPr="00AD0FF4">
        <w:rPr>
          <w:rFonts w:eastAsia="Times New Roman"/>
        </w:rPr>
        <w:t>The empirical results permit a precise restatement of the Lost Decades diagnosis. Japan's stagnation is not fundamentally a financial crisis, a demographic transition, a technology plateau, or a deflation trap. It is an institutional failure: the EET generated by the progressive displacement of ED by EE, which severed the corporate asset-growth relationship (CA elasticity collapsed from 0.229*** to 0.018 n.s.) before Japan's corporate economy had matured sufficiently to generate co-prosperity endogenously. The timing is crucial: Japan entered the EET at a level of corporate development where CA was still widening rather than compressing inequality, leaving no endogenous distributional mechanism to generate the broad-based prosperity that would have sustained the political sustainability of the corporate economy.</w:t>
      </w:r>
    </w:p>
    <w:p w14:paraId="10C1D867" w14:textId="77777777" w:rsidR="006D4392" w:rsidRPr="00AD0FF4" w:rsidRDefault="00683A75" w:rsidP="00AD0FF4">
      <w:pPr>
        <w:spacing w:after="200" w:line="360" w:lineRule="auto"/>
        <w:jc w:val="both"/>
      </w:pPr>
      <w:r w:rsidRPr="00AD0FF4">
        <w:rPr>
          <w:rFonts w:eastAsia="Times New Roman"/>
        </w:rPr>
        <w:t>This diagnosis has a precise implication for policy. The correct response to the Lost Decades is not more redistribution (which deepens the EET) nor more monetary stimulus (which reflates asset prices without restoring the performance-reward linkage) but institutional restoration of ED — restructuring the labor market to restore the performance-wage linkage, ending zombie firm support that severs corporate competitive discipline, and reorienting government support from redistribution to performance-conditional corporate investment. Abenomics' partial success — the Phase 3 CA elasticity recovery to 0.138*** — confirms that institutional signals matter; its failure to achieve co-prosperity confirms that monetary stimulus without ED institutional restoration is insufficient.</w:t>
      </w:r>
    </w:p>
    <w:p w14:paraId="7797ADD9" w14:textId="77777777" w:rsidR="006D4392" w:rsidRPr="00AD0FF4" w:rsidRDefault="00683A75" w:rsidP="00AD0FF4">
      <w:pPr>
        <w:pStyle w:val="2"/>
        <w:spacing w:before="300" w:after="150" w:line="360" w:lineRule="auto"/>
        <w:jc w:val="both"/>
      </w:pPr>
      <w:r w:rsidRPr="00AD0FF4">
        <w:rPr>
          <w:rFonts w:eastAsia="Times New Roman"/>
          <w:b/>
          <w:bCs/>
        </w:rPr>
        <w:t>6.2 Japan–China Bilateral Comparison</w:t>
      </w:r>
    </w:p>
    <w:p w14:paraId="10F55426" w14:textId="77777777" w:rsidR="006D4392" w:rsidRPr="00AD0FF4" w:rsidRDefault="00683A75" w:rsidP="00AD0FF4">
      <w:pPr>
        <w:spacing w:after="200" w:line="360" w:lineRule="auto"/>
        <w:jc w:val="both"/>
      </w:pPr>
      <w:r w:rsidRPr="00AD0FF4">
        <w:rPr>
          <w:rFonts w:eastAsia="Times New Roman"/>
        </w:rPr>
        <w:lastRenderedPageBreak/>
        <w:t>The bilateral comparison between Japan and China provides the most powerful cross-regime confirmation of GTED's institutional thesis. The two economies followed precisely inverse institutional trajectories over the period 2000–2021.</w:t>
      </w:r>
    </w:p>
    <w:p w14:paraId="2EA9E217" w14:textId="77777777" w:rsidR="006D4392" w:rsidRPr="00AD0FF4" w:rsidRDefault="006D4392" w:rsidP="00AD0FF4">
      <w:pPr>
        <w:spacing w:after="200" w:line="360" w:lineRule="auto"/>
        <w:jc w:val="both"/>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3600"/>
        <w:gridCol w:w="3060"/>
      </w:tblGrid>
      <w:tr w:rsidR="006D4392" w:rsidRPr="00AD0FF4" w14:paraId="2696F70F" w14:textId="77777777">
        <w:tc>
          <w:tcPr>
            <w:tcW w:w="3000" w:type="dxa"/>
            <w:tcBorders>
              <w:top w:val="single" w:sz="4" w:space="0" w:color="2E4B8F"/>
              <w:left w:val="single" w:sz="4" w:space="0" w:color="2E4B8F"/>
              <w:bottom w:val="single" w:sz="4" w:space="0" w:color="2E4B8F"/>
              <w:right w:val="single" w:sz="4" w:space="0" w:color="2E4B8F"/>
            </w:tcBorders>
            <w:shd w:val="clear" w:color="auto" w:fill="2E4B8F"/>
          </w:tcPr>
          <w:p w14:paraId="46534D3E" w14:textId="77777777" w:rsidR="006D4392" w:rsidRPr="00AD0FF4" w:rsidRDefault="00683A75" w:rsidP="00AD0FF4">
            <w:pPr>
              <w:spacing w:after="200" w:line="360" w:lineRule="auto"/>
              <w:jc w:val="both"/>
            </w:pPr>
            <w:r w:rsidRPr="00AD0FF4">
              <w:rPr>
                <w:rFonts w:eastAsia="Times New Roman"/>
                <w:b/>
                <w:bCs/>
                <w:color w:val="FFFFFF"/>
                <w:sz w:val="18"/>
                <w:szCs w:val="18"/>
              </w:rPr>
              <w:t>Dimension</w:t>
            </w:r>
          </w:p>
        </w:tc>
        <w:tc>
          <w:tcPr>
            <w:tcW w:w="3600" w:type="dxa"/>
            <w:tcBorders>
              <w:top w:val="single" w:sz="4" w:space="0" w:color="2E4B8F"/>
              <w:left w:val="single" w:sz="4" w:space="0" w:color="2E4B8F"/>
              <w:bottom w:val="single" w:sz="4" w:space="0" w:color="2E4B8F"/>
              <w:right w:val="single" w:sz="4" w:space="0" w:color="2E4B8F"/>
            </w:tcBorders>
            <w:shd w:val="clear" w:color="auto" w:fill="2E4B8F"/>
          </w:tcPr>
          <w:p w14:paraId="04C728E8" w14:textId="77777777" w:rsidR="006D4392" w:rsidRPr="00AD0FF4" w:rsidRDefault="00683A75" w:rsidP="00AD0FF4">
            <w:pPr>
              <w:spacing w:after="200" w:line="360" w:lineRule="auto"/>
              <w:jc w:val="both"/>
            </w:pPr>
            <w:r w:rsidRPr="00AD0FF4">
              <w:rPr>
                <w:rFonts w:eastAsia="Times New Roman"/>
                <w:b/>
                <w:bCs/>
                <w:color w:val="FFFFFF"/>
                <w:sz w:val="18"/>
                <w:szCs w:val="18"/>
              </w:rPr>
              <w:t>Japan (Lost Decades→Abenomics)</w:t>
            </w:r>
          </w:p>
        </w:tc>
        <w:tc>
          <w:tcPr>
            <w:tcW w:w="3060" w:type="dxa"/>
            <w:tcBorders>
              <w:top w:val="single" w:sz="4" w:space="0" w:color="2E4B8F"/>
              <w:left w:val="single" w:sz="4" w:space="0" w:color="2E4B8F"/>
              <w:bottom w:val="single" w:sz="4" w:space="0" w:color="2E4B8F"/>
              <w:right w:val="single" w:sz="4" w:space="0" w:color="2E4B8F"/>
            </w:tcBorders>
            <w:shd w:val="clear" w:color="auto" w:fill="2E4B8F"/>
          </w:tcPr>
          <w:p w14:paraId="6778F68A" w14:textId="77777777" w:rsidR="006D4392" w:rsidRPr="00AD0FF4" w:rsidRDefault="00683A75" w:rsidP="00AD0FF4">
            <w:pPr>
              <w:spacing w:after="200" w:line="360" w:lineRule="auto"/>
              <w:jc w:val="both"/>
            </w:pPr>
            <w:r w:rsidRPr="00AD0FF4">
              <w:rPr>
                <w:rFonts w:eastAsia="Times New Roman"/>
                <w:b/>
                <w:bCs/>
                <w:color w:val="FFFFFF"/>
                <w:sz w:val="18"/>
                <w:szCs w:val="18"/>
              </w:rPr>
              <w:t>China (Xi Phase)</w:t>
            </w:r>
          </w:p>
        </w:tc>
      </w:tr>
      <w:tr w:rsidR="006D4392" w:rsidRPr="00AD0FF4" w14:paraId="52ED0E1D" w14:textId="77777777">
        <w:tc>
          <w:tcPr>
            <w:tcW w:w="3000" w:type="dxa"/>
            <w:tcBorders>
              <w:top w:val="single" w:sz="1" w:space="0" w:color="CCCCCC"/>
              <w:left w:val="single" w:sz="1" w:space="0" w:color="CCCCCC"/>
              <w:bottom w:val="single" w:sz="1" w:space="0" w:color="CCCCCC"/>
              <w:right w:val="single" w:sz="1" w:space="0" w:color="CCCCCC"/>
            </w:tcBorders>
            <w:shd w:val="clear" w:color="auto" w:fill="F5F7FA"/>
          </w:tcPr>
          <w:p w14:paraId="0890B5A5" w14:textId="77777777" w:rsidR="006D4392" w:rsidRPr="00AD0FF4" w:rsidRDefault="00683A75" w:rsidP="00AD0FF4">
            <w:pPr>
              <w:spacing w:after="200" w:line="360" w:lineRule="auto"/>
              <w:jc w:val="both"/>
            </w:pPr>
            <w:r w:rsidRPr="00AD0FF4">
              <w:rPr>
                <w:rFonts w:eastAsia="Times New Roman"/>
                <w:sz w:val="18"/>
                <w:szCs w:val="18"/>
              </w:rPr>
              <w:t>Institutional trajectory</w:t>
            </w:r>
          </w:p>
        </w:tc>
        <w:tc>
          <w:tcPr>
            <w:tcW w:w="3600" w:type="dxa"/>
            <w:tcBorders>
              <w:top w:val="single" w:sz="1" w:space="0" w:color="CCCCCC"/>
              <w:left w:val="single" w:sz="1" w:space="0" w:color="CCCCCC"/>
              <w:bottom w:val="single" w:sz="1" w:space="0" w:color="CCCCCC"/>
              <w:right w:val="single" w:sz="1" w:space="0" w:color="CCCCCC"/>
            </w:tcBorders>
            <w:shd w:val="clear" w:color="auto" w:fill="F5F7FA"/>
          </w:tcPr>
          <w:p w14:paraId="32954173" w14:textId="77777777" w:rsidR="006D4392" w:rsidRPr="00AD0FF4" w:rsidRDefault="00683A75" w:rsidP="00AD0FF4">
            <w:pPr>
              <w:spacing w:after="200" w:line="360" w:lineRule="auto"/>
              <w:jc w:val="both"/>
            </w:pPr>
            <w:r w:rsidRPr="00AD0FF4">
              <w:rPr>
                <w:rFonts w:eastAsia="Times New Roman"/>
                <w:sz w:val="18"/>
                <w:szCs w:val="18"/>
              </w:rPr>
              <w:t>ED erosion → EE deepening</w:t>
            </w:r>
          </w:p>
        </w:tc>
        <w:tc>
          <w:tcPr>
            <w:tcW w:w="3060" w:type="dxa"/>
            <w:tcBorders>
              <w:top w:val="single" w:sz="1" w:space="0" w:color="CCCCCC"/>
              <w:left w:val="single" w:sz="1" w:space="0" w:color="CCCCCC"/>
              <w:bottom w:val="single" w:sz="1" w:space="0" w:color="CCCCCC"/>
              <w:right w:val="single" w:sz="1" w:space="0" w:color="CCCCCC"/>
            </w:tcBorders>
            <w:shd w:val="clear" w:color="auto" w:fill="F5F7FA"/>
          </w:tcPr>
          <w:p w14:paraId="22FCAFB2" w14:textId="77777777" w:rsidR="006D4392" w:rsidRPr="00AD0FF4" w:rsidRDefault="00683A75" w:rsidP="00AD0FF4">
            <w:pPr>
              <w:spacing w:after="200" w:line="360" w:lineRule="auto"/>
              <w:jc w:val="both"/>
            </w:pPr>
            <w:r w:rsidRPr="00AD0FF4">
              <w:rPr>
                <w:rFonts w:eastAsia="Times New Roman"/>
                <w:sz w:val="18"/>
                <w:szCs w:val="18"/>
              </w:rPr>
              <w:t>ED building → CA maturation</w:t>
            </w:r>
          </w:p>
        </w:tc>
      </w:tr>
      <w:tr w:rsidR="006D4392" w:rsidRPr="00AD0FF4" w14:paraId="524C07CC" w14:textId="77777777">
        <w:tc>
          <w:tcPr>
            <w:tcW w:w="3000" w:type="dxa"/>
            <w:tcBorders>
              <w:top w:val="single" w:sz="1" w:space="0" w:color="CCCCCC"/>
              <w:left w:val="single" w:sz="1" w:space="0" w:color="CCCCCC"/>
              <w:bottom w:val="single" w:sz="1" w:space="0" w:color="CCCCCC"/>
              <w:right w:val="single" w:sz="1" w:space="0" w:color="CCCCCC"/>
            </w:tcBorders>
            <w:shd w:val="clear" w:color="auto" w:fill="FFFFFF"/>
          </w:tcPr>
          <w:p w14:paraId="6B434F31" w14:textId="77777777" w:rsidR="006D4392" w:rsidRPr="00AD0FF4" w:rsidRDefault="00683A75" w:rsidP="00AD0FF4">
            <w:pPr>
              <w:spacing w:after="200" w:line="360" w:lineRule="auto"/>
              <w:jc w:val="both"/>
            </w:pPr>
            <w:r w:rsidRPr="00AD0FF4">
              <w:rPr>
                <w:rFonts w:eastAsia="Times New Roman"/>
                <w:sz w:val="18"/>
                <w:szCs w:val="18"/>
              </w:rPr>
              <w:t>CA→GDP (Phase 3)</w:t>
            </w:r>
          </w:p>
        </w:tc>
        <w:tc>
          <w:tcPr>
            <w:tcW w:w="3600" w:type="dxa"/>
            <w:tcBorders>
              <w:top w:val="single" w:sz="1" w:space="0" w:color="CCCCCC"/>
              <w:left w:val="single" w:sz="1" w:space="0" w:color="CCCCCC"/>
              <w:bottom w:val="single" w:sz="1" w:space="0" w:color="CCCCCC"/>
              <w:right w:val="single" w:sz="1" w:space="0" w:color="CCCCCC"/>
            </w:tcBorders>
            <w:shd w:val="clear" w:color="auto" w:fill="FFFFFF"/>
          </w:tcPr>
          <w:p w14:paraId="1041F0C8" w14:textId="77777777" w:rsidR="006D4392" w:rsidRPr="00AD0FF4" w:rsidRDefault="00683A75" w:rsidP="00AD0FF4">
            <w:pPr>
              <w:spacing w:after="200" w:line="360" w:lineRule="auto"/>
              <w:jc w:val="both"/>
            </w:pPr>
            <w:r w:rsidRPr="00AD0FF4">
              <w:rPr>
                <w:rFonts w:eastAsia="Times New Roman"/>
                <w:sz w:val="18"/>
                <w:szCs w:val="18"/>
              </w:rPr>
              <w:t>0.138***</w:t>
            </w:r>
          </w:p>
        </w:tc>
        <w:tc>
          <w:tcPr>
            <w:tcW w:w="3060" w:type="dxa"/>
            <w:tcBorders>
              <w:top w:val="single" w:sz="1" w:space="0" w:color="CCCCCC"/>
              <w:left w:val="single" w:sz="1" w:space="0" w:color="CCCCCC"/>
              <w:bottom w:val="single" w:sz="1" w:space="0" w:color="CCCCCC"/>
              <w:right w:val="single" w:sz="1" w:space="0" w:color="CCCCCC"/>
            </w:tcBorders>
            <w:shd w:val="clear" w:color="auto" w:fill="FFFFFF"/>
          </w:tcPr>
          <w:p w14:paraId="4CBEE460" w14:textId="77777777" w:rsidR="006D4392" w:rsidRPr="00AD0FF4" w:rsidRDefault="00683A75" w:rsidP="00AD0FF4">
            <w:pPr>
              <w:spacing w:after="200" w:line="360" w:lineRule="auto"/>
              <w:jc w:val="both"/>
            </w:pPr>
            <w:r w:rsidRPr="00AD0FF4">
              <w:rPr>
                <w:rFonts w:eastAsia="Times New Roman"/>
                <w:sz w:val="18"/>
                <w:szCs w:val="18"/>
              </w:rPr>
              <w:t>0.557***</w:t>
            </w:r>
          </w:p>
        </w:tc>
      </w:tr>
      <w:tr w:rsidR="006D4392" w:rsidRPr="00AD0FF4" w14:paraId="70C37830" w14:textId="77777777">
        <w:tc>
          <w:tcPr>
            <w:tcW w:w="3000" w:type="dxa"/>
            <w:tcBorders>
              <w:top w:val="single" w:sz="1" w:space="0" w:color="CCCCCC"/>
              <w:left w:val="single" w:sz="1" w:space="0" w:color="CCCCCC"/>
              <w:bottom w:val="single" w:sz="1" w:space="0" w:color="CCCCCC"/>
              <w:right w:val="single" w:sz="1" w:space="0" w:color="CCCCCC"/>
            </w:tcBorders>
            <w:shd w:val="clear" w:color="auto" w:fill="F5F7FA"/>
          </w:tcPr>
          <w:p w14:paraId="49D3FD8B" w14:textId="77777777" w:rsidR="006D4392" w:rsidRPr="00AD0FF4" w:rsidRDefault="00683A75" w:rsidP="00AD0FF4">
            <w:pPr>
              <w:spacing w:after="200" w:line="360" w:lineRule="auto"/>
              <w:jc w:val="both"/>
            </w:pPr>
            <w:r w:rsidRPr="00AD0FF4">
              <w:rPr>
                <w:rFonts w:eastAsia="Times New Roman"/>
                <w:sz w:val="18"/>
                <w:szCs w:val="18"/>
              </w:rPr>
              <w:t>CA→Gini (Phase 3)</w:t>
            </w:r>
          </w:p>
        </w:tc>
        <w:tc>
          <w:tcPr>
            <w:tcW w:w="3600" w:type="dxa"/>
            <w:tcBorders>
              <w:top w:val="single" w:sz="1" w:space="0" w:color="CCCCCC"/>
              <w:left w:val="single" w:sz="1" w:space="0" w:color="CCCCCC"/>
              <w:bottom w:val="single" w:sz="1" w:space="0" w:color="CCCCCC"/>
              <w:right w:val="single" w:sz="1" w:space="0" w:color="CCCCCC"/>
            </w:tcBorders>
            <w:shd w:val="clear" w:color="auto" w:fill="F5F7FA"/>
          </w:tcPr>
          <w:p w14:paraId="64B28E91" w14:textId="77777777" w:rsidR="006D4392" w:rsidRPr="00AD0FF4" w:rsidRDefault="00683A75" w:rsidP="00AD0FF4">
            <w:pPr>
              <w:spacing w:after="200" w:line="360" w:lineRule="auto"/>
              <w:jc w:val="both"/>
            </w:pPr>
            <w:r w:rsidRPr="00AD0FF4">
              <w:rPr>
                <w:rFonts w:eastAsia="Times New Roman"/>
                <w:sz w:val="18"/>
                <w:szCs w:val="18"/>
              </w:rPr>
              <w:t>+0.043*** (widening)</w:t>
            </w:r>
          </w:p>
        </w:tc>
        <w:tc>
          <w:tcPr>
            <w:tcW w:w="3060" w:type="dxa"/>
            <w:tcBorders>
              <w:top w:val="single" w:sz="1" w:space="0" w:color="CCCCCC"/>
              <w:left w:val="single" w:sz="1" w:space="0" w:color="CCCCCC"/>
              <w:bottom w:val="single" w:sz="1" w:space="0" w:color="CCCCCC"/>
              <w:right w:val="single" w:sz="1" w:space="0" w:color="CCCCCC"/>
            </w:tcBorders>
            <w:shd w:val="clear" w:color="auto" w:fill="F5F7FA"/>
          </w:tcPr>
          <w:p w14:paraId="31143F0C" w14:textId="77777777" w:rsidR="006D4392" w:rsidRPr="00AD0FF4" w:rsidRDefault="00683A75" w:rsidP="00AD0FF4">
            <w:pPr>
              <w:spacing w:after="200" w:line="360" w:lineRule="auto"/>
              <w:jc w:val="both"/>
            </w:pPr>
            <w:r w:rsidRPr="00AD0FF4">
              <w:rPr>
                <w:rFonts w:eastAsia="Times New Roman"/>
                <w:sz w:val="18"/>
                <w:szCs w:val="18"/>
              </w:rPr>
              <w:t>−0.038*** (compressing)</w:t>
            </w:r>
          </w:p>
        </w:tc>
      </w:tr>
      <w:tr w:rsidR="006D4392" w:rsidRPr="00AD0FF4" w14:paraId="71B24776" w14:textId="77777777">
        <w:tc>
          <w:tcPr>
            <w:tcW w:w="3000" w:type="dxa"/>
            <w:tcBorders>
              <w:top w:val="single" w:sz="1" w:space="0" w:color="CCCCCC"/>
              <w:left w:val="single" w:sz="1" w:space="0" w:color="CCCCCC"/>
              <w:bottom w:val="single" w:sz="1" w:space="0" w:color="CCCCCC"/>
              <w:right w:val="single" w:sz="1" w:space="0" w:color="CCCCCC"/>
            </w:tcBorders>
            <w:shd w:val="clear" w:color="auto" w:fill="FFFFFF"/>
          </w:tcPr>
          <w:p w14:paraId="15E6B88F" w14:textId="77777777" w:rsidR="006D4392" w:rsidRPr="00AD0FF4" w:rsidRDefault="00683A75" w:rsidP="00AD0FF4">
            <w:pPr>
              <w:spacing w:after="200" w:line="360" w:lineRule="auto"/>
              <w:jc w:val="both"/>
            </w:pPr>
            <w:r w:rsidRPr="00AD0FF4">
              <w:rPr>
                <w:rFonts w:eastAsia="Times New Roman"/>
                <w:sz w:val="18"/>
                <w:szCs w:val="18"/>
              </w:rPr>
              <w:t>Co-prosperity</w:t>
            </w:r>
          </w:p>
        </w:tc>
        <w:tc>
          <w:tcPr>
            <w:tcW w:w="3600" w:type="dxa"/>
            <w:tcBorders>
              <w:top w:val="single" w:sz="1" w:space="0" w:color="CCCCCC"/>
              <w:left w:val="single" w:sz="1" w:space="0" w:color="CCCCCC"/>
              <w:bottom w:val="single" w:sz="1" w:space="0" w:color="CCCCCC"/>
              <w:right w:val="single" w:sz="1" w:space="0" w:color="CCCCCC"/>
            </w:tcBorders>
            <w:shd w:val="clear" w:color="auto" w:fill="FFFFFF"/>
          </w:tcPr>
          <w:p w14:paraId="4F4307D0" w14:textId="77777777" w:rsidR="006D4392" w:rsidRPr="00AD0FF4" w:rsidRDefault="00683A75" w:rsidP="00AD0FF4">
            <w:pPr>
              <w:spacing w:after="200" w:line="360" w:lineRule="auto"/>
              <w:jc w:val="both"/>
            </w:pPr>
            <w:r w:rsidRPr="00AD0FF4">
              <w:rPr>
                <w:rFonts w:eastAsia="Times New Roman"/>
                <w:sz w:val="18"/>
                <w:szCs w:val="18"/>
              </w:rPr>
              <w:t>NOT achieved</w:t>
            </w:r>
          </w:p>
        </w:tc>
        <w:tc>
          <w:tcPr>
            <w:tcW w:w="3060" w:type="dxa"/>
            <w:tcBorders>
              <w:top w:val="single" w:sz="1" w:space="0" w:color="CCCCCC"/>
              <w:left w:val="single" w:sz="1" w:space="0" w:color="CCCCCC"/>
              <w:bottom w:val="single" w:sz="1" w:space="0" w:color="CCCCCC"/>
              <w:right w:val="single" w:sz="1" w:space="0" w:color="CCCCCC"/>
            </w:tcBorders>
            <w:shd w:val="clear" w:color="auto" w:fill="FFFFFF"/>
          </w:tcPr>
          <w:p w14:paraId="598F8370" w14:textId="77777777" w:rsidR="006D4392" w:rsidRPr="00AD0FF4" w:rsidRDefault="00683A75" w:rsidP="00AD0FF4">
            <w:pPr>
              <w:spacing w:after="200" w:line="360" w:lineRule="auto"/>
              <w:jc w:val="both"/>
            </w:pPr>
            <w:r w:rsidRPr="00AD0FF4">
              <w:rPr>
                <w:rFonts w:eastAsia="Times New Roman"/>
                <w:sz w:val="18"/>
                <w:szCs w:val="18"/>
              </w:rPr>
              <w:t>ACHIEVED</w:t>
            </w:r>
          </w:p>
        </w:tc>
      </w:tr>
      <w:tr w:rsidR="006D4392" w:rsidRPr="00AD0FF4" w14:paraId="1537118C" w14:textId="77777777">
        <w:tc>
          <w:tcPr>
            <w:tcW w:w="3000" w:type="dxa"/>
            <w:tcBorders>
              <w:top w:val="single" w:sz="1" w:space="0" w:color="CCCCCC"/>
              <w:left w:val="single" w:sz="1" w:space="0" w:color="CCCCCC"/>
              <w:bottom w:val="single" w:sz="1" w:space="0" w:color="CCCCCC"/>
              <w:right w:val="single" w:sz="1" w:space="0" w:color="CCCCCC"/>
            </w:tcBorders>
            <w:shd w:val="clear" w:color="auto" w:fill="F5F7FA"/>
          </w:tcPr>
          <w:p w14:paraId="5F6C69A9" w14:textId="77777777" w:rsidR="006D4392" w:rsidRPr="00AD0FF4" w:rsidRDefault="00683A75" w:rsidP="00AD0FF4">
            <w:pPr>
              <w:spacing w:after="200" w:line="360" w:lineRule="auto"/>
              <w:jc w:val="both"/>
            </w:pPr>
            <w:r w:rsidRPr="00AD0FF4">
              <w:rPr>
                <w:rFonts w:eastAsia="Times New Roman"/>
                <w:sz w:val="18"/>
                <w:szCs w:val="18"/>
              </w:rPr>
              <w:t>Gini intercept shift</w:t>
            </w:r>
          </w:p>
        </w:tc>
        <w:tc>
          <w:tcPr>
            <w:tcW w:w="3600" w:type="dxa"/>
            <w:tcBorders>
              <w:top w:val="single" w:sz="1" w:space="0" w:color="CCCCCC"/>
              <w:left w:val="single" w:sz="1" w:space="0" w:color="CCCCCC"/>
              <w:bottom w:val="single" w:sz="1" w:space="0" w:color="CCCCCC"/>
              <w:right w:val="single" w:sz="1" w:space="0" w:color="CCCCCC"/>
            </w:tcBorders>
            <w:shd w:val="clear" w:color="auto" w:fill="F5F7FA"/>
          </w:tcPr>
          <w:p w14:paraId="5D1E5288" w14:textId="77777777" w:rsidR="006D4392" w:rsidRPr="00AD0FF4" w:rsidRDefault="00683A75" w:rsidP="00AD0FF4">
            <w:pPr>
              <w:spacing w:after="200" w:line="360" w:lineRule="auto"/>
              <w:jc w:val="both"/>
            </w:pPr>
            <w:r w:rsidRPr="00AD0FF4">
              <w:rPr>
                <w:rFonts w:eastAsia="Times New Roman"/>
                <w:sz w:val="18"/>
                <w:szCs w:val="18"/>
              </w:rPr>
              <w:t>+0.769*** (structural rise)</w:t>
            </w:r>
          </w:p>
        </w:tc>
        <w:tc>
          <w:tcPr>
            <w:tcW w:w="3060" w:type="dxa"/>
            <w:tcBorders>
              <w:top w:val="single" w:sz="1" w:space="0" w:color="CCCCCC"/>
              <w:left w:val="single" w:sz="1" w:space="0" w:color="CCCCCC"/>
              <w:bottom w:val="single" w:sz="1" w:space="0" w:color="CCCCCC"/>
              <w:right w:val="single" w:sz="1" w:space="0" w:color="CCCCCC"/>
            </w:tcBorders>
            <w:shd w:val="clear" w:color="auto" w:fill="F5F7FA"/>
          </w:tcPr>
          <w:p w14:paraId="6F5118F3" w14:textId="77777777" w:rsidR="006D4392" w:rsidRPr="00AD0FF4" w:rsidRDefault="00683A75" w:rsidP="00AD0FF4">
            <w:pPr>
              <w:spacing w:after="200" w:line="360" w:lineRule="auto"/>
              <w:jc w:val="both"/>
            </w:pPr>
            <w:r w:rsidRPr="00AD0FF4">
              <w:rPr>
                <w:rFonts w:eastAsia="Times New Roman"/>
                <w:sz w:val="18"/>
                <w:szCs w:val="18"/>
              </w:rPr>
              <w:t>Contained</w:t>
            </w:r>
          </w:p>
        </w:tc>
      </w:tr>
      <w:tr w:rsidR="006D4392" w:rsidRPr="00AD0FF4" w14:paraId="5F652100" w14:textId="77777777">
        <w:tc>
          <w:tcPr>
            <w:tcW w:w="3000" w:type="dxa"/>
            <w:tcBorders>
              <w:top w:val="single" w:sz="1" w:space="0" w:color="CCCCCC"/>
              <w:left w:val="single" w:sz="1" w:space="0" w:color="CCCCCC"/>
              <w:bottom w:val="single" w:sz="1" w:space="0" w:color="CCCCCC"/>
              <w:right w:val="single" w:sz="1" w:space="0" w:color="CCCCCC"/>
            </w:tcBorders>
            <w:shd w:val="clear" w:color="auto" w:fill="FFFFFF"/>
          </w:tcPr>
          <w:p w14:paraId="7CA8F7A8" w14:textId="77777777" w:rsidR="006D4392" w:rsidRPr="00AD0FF4" w:rsidRDefault="00683A75" w:rsidP="00AD0FF4">
            <w:pPr>
              <w:spacing w:after="200" w:line="360" w:lineRule="auto"/>
              <w:jc w:val="both"/>
            </w:pPr>
            <w:r w:rsidRPr="00AD0FF4">
              <w:rPr>
                <w:rFonts w:eastAsia="Times New Roman"/>
                <w:sz w:val="18"/>
                <w:szCs w:val="18"/>
              </w:rPr>
              <w:t>θ trajectory</w:t>
            </w:r>
          </w:p>
        </w:tc>
        <w:tc>
          <w:tcPr>
            <w:tcW w:w="3600" w:type="dxa"/>
            <w:tcBorders>
              <w:top w:val="single" w:sz="1" w:space="0" w:color="CCCCCC"/>
              <w:left w:val="single" w:sz="1" w:space="0" w:color="CCCCCC"/>
              <w:bottom w:val="single" w:sz="1" w:space="0" w:color="CCCCCC"/>
              <w:right w:val="single" w:sz="1" w:space="0" w:color="CCCCCC"/>
            </w:tcBorders>
            <w:shd w:val="clear" w:color="auto" w:fill="FFFFFF"/>
          </w:tcPr>
          <w:p w14:paraId="7931D307" w14:textId="77777777" w:rsidR="006D4392" w:rsidRPr="00AD0FF4" w:rsidRDefault="00683A75" w:rsidP="00AD0FF4">
            <w:pPr>
              <w:spacing w:after="200" w:line="360" w:lineRule="auto"/>
              <w:jc w:val="both"/>
            </w:pPr>
            <w:r w:rsidRPr="00AD0FF4">
              <w:rPr>
                <w:rFonts w:eastAsia="Times New Roman"/>
                <w:sz w:val="18"/>
                <w:szCs w:val="18"/>
              </w:rPr>
              <w:t>0.680 → 0.672 (falling)</w:t>
            </w:r>
          </w:p>
        </w:tc>
        <w:tc>
          <w:tcPr>
            <w:tcW w:w="3060" w:type="dxa"/>
            <w:tcBorders>
              <w:top w:val="single" w:sz="1" w:space="0" w:color="CCCCCC"/>
              <w:left w:val="single" w:sz="1" w:space="0" w:color="CCCCCC"/>
              <w:bottom w:val="single" w:sz="1" w:space="0" w:color="CCCCCC"/>
              <w:right w:val="single" w:sz="1" w:space="0" w:color="CCCCCC"/>
            </w:tcBorders>
            <w:shd w:val="clear" w:color="auto" w:fill="FFFFFF"/>
          </w:tcPr>
          <w:p w14:paraId="07799C12" w14:textId="77777777" w:rsidR="006D4392" w:rsidRPr="00AD0FF4" w:rsidRDefault="00683A75" w:rsidP="00AD0FF4">
            <w:pPr>
              <w:spacing w:after="200" w:line="360" w:lineRule="auto"/>
              <w:jc w:val="both"/>
            </w:pPr>
            <w:r w:rsidRPr="00AD0FF4">
              <w:rPr>
                <w:rFonts w:eastAsia="Times New Roman"/>
                <w:sz w:val="18"/>
                <w:szCs w:val="18"/>
              </w:rPr>
              <w:t>Low but stable</w:t>
            </w:r>
          </w:p>
        </w:tc>
      </w:tr>
      <w:tr w:rsidR="006D4392" w:rsidRPr="00AD0FF4" w14:paraId="7C3FE1C2" w14:textId="77777777">
        <w:tc>
          <w:tcPr>
            <w:tcW w:w="3000" w:type="dxa"/>
            <w:tcBorders>
              <w:top w:val="single" w:sz="1" w:space="0" w:color="CCCCCC"/>
              <w:left w:val="single" w:sz="1" w:space="0" w:color="CCCCCC"/>
              <w:bottom w:val="single" w:sz="1" w:space="0" w:color="CCCCCC"/>
              <w:right w:val="single" w:sz="1" w:space="0" w:color="CCCCCC"/>
            </w:tcBorders>
            <w:shd w:val="clear" w:color="auto" w:fill="F5F7FA"/>
          </w:tcPr>
          <w:p w14:paraId="45AFDB43" w14:textId="77777777" w:rsidR="006D4392" w:rsidRPr="00AD0FF4" w:rsidRDefault="00683A75" w:rsidP="00AD0FF4">
            <w:pPr>
              <w:spacing w:after="200" w:line="360" w:lineRule="auto"/>
              <w:jc w:val="both"/>
            </w:pPr>
            <w:r w:rsidRPr="00AD0FF4">
              <w:rPr>
                <w:rFonts w:eastAsia="Times New Roman"/>
                <w:sz w:val="18"/>
                <w:szCs w:val="18"/>
              </w:rPr>
              <w:t>Policy response</w:t>
            </w:r>
          </w:p>
        </w:tc>
        <w:tc>
          <w:tcPr>
            <w:tcW w:w="3600" w:type="dxa"/>
            <w:tcBorders>
              <w:top w:val="single" w:sz="1" w:space="0" w:color="CCCCCC"/>
              <w:left w:val="single" w:sz="1" w:space="0" w:color="CCCCCC"/>
              <w:bottom w:val="single" w:sz="1" w:space="0" w:color="CCCCCC"/>
              <w:right w:val="single" w:sz="1" w:space="0" w:color="CCCCCC"/>
            </w:tcBorders>
            <w:shd w:val="clear" w:color="auto" w:fill="F5F7FA"/>
          </w:tcPr>
          <w:p w14:paraId="067B6027" w14:textId="77777777" w:rsidR="006D4392" w:rsidRPr="00AD0FF4" w:rsidRDefault="00683A75" w:rsidP="00AD0FF4">
            <w:pPr>
              <w:spacing w:after="200" w:line="360" w:lineRule="auto"/>
              <w:jc w:val="both"/>
            </w:pPr>
            <w:r w:rsidRPr="00AD0FF4">
              <w:rPr>
                <w:rFonts w:eastAsia="Times New Roman"/>
                <w:sz w:val="18"/>
                <w:szCs w:val="18"/>
              </w:rPr>
              <w:t>Monetary stimulus</w:t>
            </w:r>
          </w:p>
        </w:tc>
        <w:tc>
          <w:tcPr>
            <w:tcW w:w="3060" w:type="dxa"/>
            <w:tcBorders>
              <w:top w:val="single" w:sz="1" w:space="0" w:color="CCCCCC"/>
              <w:left w:val="single" w:sz="1" w:space="0" w:color="CCCCCC"/>
              <w:bottom w:val="single" w:sz="1" w:space="0" w:color="CCCCCC"/>
              <w:right w:val="single" w:sz="1" w:space="0" w:color="CCCCCC"/>
            </w:tcBorders>
            <w:shd w:val="clear" w:color="auto" w:fill="F5F7FA"/>
          </w:tcPr>
          <w:p w14:paraId="46245E3B" w14:textId="77777777" w:rsidR="006D4392" w:rsidRPr="00AD0FF4" w:rsidRDefault="00683A75" w:rsidP="00AD0FF4">
            <w:pPr>
              <w:spacing w:after="200" w:line="360" w:lineRule="auto"/>
              <w:jc w:val="both"/>
            </w:pPr>
            <w:r w:rsidRPr="00AD0FF4">
              <w:rPr>
                <w:rFonts w:eastAsia="Times New Roman"/>
                <w:sz w:val="18"/>
                <w:szCs w:val="18"/>
              </w:rPr>
              <w:t>Corporate ED reinforcement</w:t>
            </w:r>
          </w:p>
        </w:tc>
      </w:tr>
      <w:tr w:rsidR="006D4392" w:rsidRPr="00AD0FF4" w14:paraId="5852D449" w14:textId="77777777">
        <w:tc>
          <w:tcPr>
            <w:tcW w:w="3000" w:type="dxa"/>
            <w:tcBorders>
              <w:top w:val="single" w:sz="1" w:space="0" w:color="CCCCCC"/>
              <w:left w:val="single" w:sz="1" w:space="0" w:color="CCCCCC"/>
              <w:bottom w:val="single" w:sz="1" w:space="0" w:color="CCCCCC"/>
              <w:right w:val="single" w:sz="1" w:space="0" w:color="CCCCCC"/>
            </w:tcBorders>
            <w:shd w:val="clear" w:color="auto" w:fill="FFFFFF"/>
          </w:tcPr>
          <w:p w14:paraId="39C4D7FF" w14:textId="77777777" w:rsidR="006D4392" w:rsidRPr="00AD0FF4" w:rsidRDefault="00683A75" w:rsidP="00AD0FF4">
            <w:pPr>
              <w:spacing w:after="200" w:line="360" w:lineRule="auto"/>
              <w:jc w:val="both"/>
            </w:pPr>
            <w:r w:rsidRPr="00AD0FF4">
              <w:rPr>
                <w:rFonts w:eastAsia="Times New Roman"/>
                <w:sz w:val="18"/>
                <w:szCs w:val="18"/>
              </w:rPr>
              <w:t>GTED outcome</w:t>
            </w:r>
          </w:p>
        </w:tc>
        <w:tc>
          <w:tcPr>
            <w:tcW w:w="3600" w:type="dxa"/>
            <w:tcBorders>
              <w:top w:val="single" w:sz="1" w:space="0" w:color="CCCCCC"/>
              <w:left w:val="single" w:sz="1" w:space="0" w:color="CCCCCC"/>
              <w:bottom w:val="single" w:sz="1" w:space="0" w:color="CCCCCC"/>
              <w:right w:val="single" w:sz="1" w:space="0" w:color="CCCCCC"/>
            </w:tcBorders>
            <w:shd w:val="clear" w:color="auto" w:fill="FFFFFF"/>
          </w:tcPr>
          <w:p w14:paraId="4F9F29AD" w14:textId="77777777" w:rsidR="006D4392" w:rsidRPr="00AD0FF4" w:rsidRDefault="00683A75" w:rsidP="00AD0FF4">
            <w:pPr>
              <w:spacing w:after="200" w:line="360" w:lineRule="auto"/>
              <w:jc w:val="both"/>
            </w:pPr>
            <w:r w:rsidRPr="00AD0FF4">
              <w:rPr>
                <w:rFonts w:eastAsia="Times New Roman"/>
                <w:sz w:val="18"/>
                <w:szCs w:val="18"/>
              </w:rPr>
              <w:t>EET confirmed</w:t>
            </w:r>
          </w:p>
        </w:tc>
        <w:tc>
          <w:tcPr>
            <w:tcW w:w="3060" w:type="dxa"/>
            <w:tcBorders>
              <w:top w:val="single" w:sz="1" w:space="0" w:color="CCCCCC"/>
              <w:left w:val="single" w:sz="1" w:space="0" w:color="CCCCCC"/>
              <w:bottom w:val="single" w:sz="1" w:space="0" w:color="CCCCCC"/>
              <w:right w:val="single" w:sz="1" w:space="0" w:color="CCCCCC"/>
            </w:tcBorders>
            <w:shd w:val="clear" w:color="auto" w:fill="FFFFFF"/>
          </w:tcPr>
          <w:p w14:paraId="280EBC19" w14:textId="77777777" w:rsidR="006D4392" w:rsidRPr="00AD0FF4" w:rsidRDefault="00683A75" w:rsidP="00AD0FF4">
            <w:pPr>
              <w:spacing w:after="200" w:line="360" w:lineRule="auto"/>
              <w:jc w:val="both"/>
            </w:pPr>
            <w:r w:rsidRPr="00AD0FF4">
              <w:rPr>
                <w:rFonts w:eastAsia="Times New Roman"/>
                <w:sz w:val="18"/>
                <w:szCs w:val="18"/>
              </w:rPr>
              <w:t>Co-prosperity confirmed</w:t>
            </w:r>
          </w:p>
        </w:tc>
      </w:tr>
    </w:tbl>
    <w:p w14:paraId="7CA6E01D" w14:textId="77777777" w:rsidR="006D4392" w:rsidRPr="00AD0FF4" w:rsidRDefault="006D4392" w:rsidP="00AD0FF4">
      <w:pPr>
        <w:spacing w:after="200" w:line="360" w:lineRule="auto"/>
        <w:jc w:val="both"/>
      </w:pPr>
    </w:p>
    <w:p w14:paraId="28F0B272" w14:textId="77777777" w:rsidR="006D4392" w:rsidRPr="00AD0FF4" w:rsidRDefault="00683A75" w:rsidP="00AD0FF4">
      <w:pPr>
        <w:spacing w:after="200" w:line="360" w:lineRule="auto"/>
        <w:jc w:val="both"/>
      </w:pPr>
      <w:r w:rsidRPr="00AD0FF4">
        <w:rPr>
          <w:rFonts w:eastAsia="Times New Roman"/>
        </w:rPr>
        <w:t>The contrast is stark and theoretically precise. Japan's CA→Gini remains positive (+0.043***) because Japan's corporate economy, while recovering under Abenomics, has not matured to the threshold at which CA growth generates endogenous broad-based wage growth. China's CA→Gini turned negative (−0.038***) because China's corporate economy, having accumulated sufficient organizational depth under sustained ED, generates co-prosperity endogenously through the employment and wage multiplier of mature corporate development. The key variable is not regime type (democratic Japan vs. authoritarian China) but institutional functionality (EE-dominant Japan vs. ED-dominant China).</w:t>
      </w:r>
    </w:p>
    <w:p w14:paraId="34FA8745" w14:textId="77777777" w:rsidR="006D4392" w:rsidRPr="00AD0FF4" w:rsidRDefault="00683A75" w:rsidP="00AD0FF4">
      <w:pPr>
        <w:pStyle w:val="2"/>
        <w:spacing w:before="300" w:after="150" w:line="360" w:lineRule="auto"/>
        <w:jc w:val="both"/>
      </w:pPr>
      <w:r w:rsidRPr="00AD0FF4">
        <w:rPr>
          <w:rFonts w:eastAsia="Times New Roman"/>
          <w:b/>
          <w:bCs/>
        </w:rPr>
        <w:t>6.3 Japan–Korea–US Comparison: The Universal EET</w:t>
      </w:r>
    </w:p>
    <w:p w14:paraId="0A244354" w14:textId="77777777" w:rsidR="006D4392" w:rsidRPr="00AD0FF4" w:rsidRDefault="00683A75" w:rsidP="00AD0FF4">
      <w:pPr>
        <w:spacing w:after="200" w:line="360" w:lineRule="auto"/>
        <w:jc w:val="both"/>
      </w:pPr>
      <w:r w:rsidRPr="00AD0FF4">
        <w:rPr>
          <w:rFonts w:eastAsia="Times New Roman"/>
        </w:rPr>
        <w:t xml:space="preserve">Japan's EET is not unique but universal, as confirmed by parallel analyses of Korea and the United States (Jwa, 2026a; Jwa, 2026b). South Korea's post-1988 democratization triggered an institutional shift from the developmental state's ED orientation toward welfare state EE expansion, </w:t>
      </w:r>
      <w:r w:rsidRPr="00AD0FF4">
        <w:rPr>
          <w:rFonts w:eastAsia="Times New Roman"/>
        </w:rPr>
        <w:lastRenderedPageBreak/>
        <w:t>generating the same polarized stagnation pattern — rising Gini despite redistribution, slowing growth despite capital accumulation — that Japan has experienced (Jwa, 2025). The United States' six-decade welfare state expansion produced the Mature Democracy Trap (MDT) — the American EET manifestation — characterized by rising market inequality coinciding with welfare expansion and growth deceleration (Jwa, 2026a).</w:t>
      </w:r>
    </w:p>
    <w:p w14:paraId="6BD4D134" w14:textId="5C842324" w:rsidR="006D4392" w:rsidRPr="00AD0FF4" w:rsidRDefault="00683A75" w:rsidP="00AD0FF4">
      <w:pPr>
        <w:spacing w:after="240" w:line="360" w:lineRule="auto"/>
        <w:jc w:val="both"/>
      </w:pPr>
      <w:r w:rsidRPr="00AD0FF4">
        <w:rPr>
          <w:rFonts w:eastAsia="Times New Roman"/>
        </w:rPr>
        <w:t>The universality of the EET across these three cases — Japan, Korea, and the United States — spanning different cultures, political systems, and stages of development — confirms GTED's central thesis: institutional functionality (ED vs. EE) determines development outcomes regardless of regime type, geography, or cultural context. The lesson for policy is equally universal: institutional restoration of ED is not a culture-specific prescription but the general institutional precondition for escaping the EET.</w:t>
      </w:r>
    </w:p>
    <w:p w14:paraId="5E6AAB34" w14:textId="77777777" w:rsidR="006D4392" w:rsidRPr="00AD0FF4" w:rsidRDefault="00683A75" w:rsidP="00AD0FF4">
      <w:pPr>
        <w:spacing w:after="200" w:line="360" w:lineRule="auto"/>
        <w:jc w:val="both"/>
      </w:pPr>
      <w:r w:rsidRPr="00AD0FF4">
        <w:rPr>
          <w:b/>
          <w:bCs/>
          <w:sz w:val="26"/>
          <w:szCs w:val="26"/>
        </w:rPr>
        <w:t>6.4 Evaluation of Mainstream Explanations: What GTED Adds</w:t>
      </w:r>
    </w:p>
    <w:p w14:paraId="3D36D8B6" w14:textId="77777777" w:rsidR="006D4392" w:rsidRPr="00AD0FF4" w:rsidRDefault="00683A75" w:rsidP="00AD0FF4">
      <w:pPr>
        <w:spacing w:after="200" w:line="360" w:lineRule="auto"/>
        <w:jc w:val="both"/>
      </w:pPr>
      <w:r w:rsidRPr="00AD0FF4">
        <w:t>The conventional literature on Japan’s Lost Decades has produced four major explanations, each capturing a real symptom while missing the institutional root cause. This section systematically evaluates each against the GTED framework, demonstrating that GTED not only subsumes the conventional accounts but provides what they lack: a unified causal theory with empirically testable institutional mechanism.</w:t>
      </w:r>
    </w:p>
    <w:p w14:paraId="7C248A64" w14:textId="77777777" w:rsidR="006D4392" w:rsidRPr="00AD0FF4" w:rsidRDefault="00683A75" w:rsidP="00AD0FF4">
      <w:pPr>
        <w:spacing w:before="300" w:after="150" w:line="360" w:lineRule="auto"/>
        <w:jc w:val="both"/>
      </w:pPr>
      <w:r w:rsidRPr="00AD0FF4">
        <w:rPr>
          <w:b/>
          <w:bCs/>
        </w:rPr>
        <w:t>6.4.1 Hayashi and Prescott (2002): The TFP Residual Account</w:t>
      </w:r>
    </w:p>
    <w:p w14:paraId="20DE1B16" w14:textId="77777777" w:rsidR="006D4392" w:rsidRPr="00AD0FF4" w:rsidRDefault="00683A75" w:rsidP="00AD0FF4">
      <w:pPr>
        <w:spacing w:after="200" w:line="360" w:lineRule="auto"/>
        <w:jc w:val="both"/>
      </w:pPr>
      <w:r w:rsidRPr="00AD0FF4">
        <w:t>Hayashi and Prescott (2002) apply Solow growth accounting to Japan’s Lost Decade, concluding that the stagnation reflected a collapse in total factor productivity (TFP) growth combined with reduced work hours due to regulatory changes. Their analysis is technically careful and empirically grounded, but it faces a fundamental limitation: TFP is a residual — it measures what growth accounting cannot explain rather than identifying the institutional mechanism that produced the outcome. Hayashi and Prescott document that TFP fell; they do not explain why.</w:t>
      </w:r>
    </w:p>
    <w:p w14:paraId="03C1DF1B" w14:textId="77777777" w:rsidR="006D4392" w:rsidRPr="00AD0FF4" w:rsidRDefault="00683A75" w:rsidP="00AD0FF4">
      <w:pPr>
        <w:spacing w:after="200" w:line="360" w:lineRule="auto"/>
        <w:jc w:val="both"/>
      </w:pPr>
      <w:r w:rsidRPr="00AD0FF4">
        <w:t xml:space="preserve">GTED provides the missing explanation. TFP is not an exogenous technology shock but the aggregate outcome of corporate organizational capability — captured in the GTED framework by organizational technology A in equation (3). When EE institutions suppress θ below the threshold at which A accumulates, TFP measured as a Solow residual will fall — not because of an </w:t>
      </w:r>
      <w:r w:rsidRPr="00AD0FF4">
        <w:lastRenderedPageBreak/>
        <w:t>autonomous productivity shock but because the institutional performance-reward linkage has been severed. The CA elasticity collapse from 0.229*** to 0.018 n.s. in our regression is precisely the mechanism that Hayashi and Prescott’s TFP residual reflects but cannot explain. Moreover, GTED simultaneously explains the distributional deterioration that Hayashi and Prescott, working within a single-equation growth model, cannot address.</w:t>
      </w:r>
    </w:p>
    <w:p w14:paraId="3F98C68E" w14:textId="77777777" w:rsidR="006D4392" w:rsidRPr="00AD0FF4" w:rsidRDefault="00683A75" w:rsidP="00AD0FF4">
      <w:pPr>
        <w:spacing w:before="300" w:after="150" w:line="360" w:lineRule="auto"/>
        <w:jc w:val="both"/>
      </w:pPr>
      <w:r w:rsidRPr="00AD0FF4">
        <w:rPr>
          <w:b/>
          <w:bCs/>
        </w:rPr>
        <w:t>6.4.2 Caballero, Hoshi, and Kashyap (2008): The Zombie Firm Account</w:t>
      </w:r>
    </w:p>
    <w:p w14:paraId="630614D1" w14:textId="77777777" w:rsidR="006D4392" w:rsidRPr="00AD0FF4" w:rsidRDefault="00683A75" w:rsidP="00AD0FF4">
      <w:pPr>
        <w:spacing w:after="200" w:line="360" w:lineRule="auto"/>
        <w:jc w:val="both"/>
      </w:pPr>
      <w:r w:rsidRPr="00AD0FF4">
        <w:t>Caballero, Hoshi, and Kashyap (2008) identify zombie firm forbearance — banks extending credit to insolvent firms to avoid recognizing non-performing loans — as the central mechanism of Japan’s stagnation. Their empirical work is compelling: zombie firms depress healthy firm entry, wages, and investment through congestion effects. This account correctly identifies a key institutional mechanism of the Lost Decades.</w:t>
      </w:r>
    </w:p>
    <w:p w14:paraId="7B5990F4" w14:textId="77777777" w:rsidR="006D4392" w:rsidRPr="00AD0FF4" w:rsidRDefault="00683A75" w:rsidP="00AD0FF4">
      <w:pPr>
        <w:spacing w:after="200" w:line="360" w:lineRule="auto"/>
        <w:jc w:val="both"/>
      </w:pPr>
      <w:r w:rsidRPr="00AD0FF4">
        <w:t>GTED subsumes and extends this account. Zombie firm forbearance is, in GTED terminology, an EE mechanism — the equalization of corporate survival chances regardless of performance, which severs the market selection force that is one of the key determinants of θ. But Caballero et al. treat zombie lending as a financial pathology without identifying its political origin: the lifetime employment norm, the banking sector’s regulatory capture by EE ideology, and ultimately Tanaka’s 1972 programme that institutionalized the protection of existing economic actors against performance-based displacement. GTED explains not only what zombie firms do but why they emerged and why they persisted despite their documented costs.</w:t>
      </w:r>
    </w:p>
    <w:p w14:paraId="361AEA96" w14:textId="77777777" w:rsidR="006D4392" w:rsidRPr="00AD0FF4" w:rsidRDefault="00683A75" w:rsidP="00AD0FF4">
      <w:pPr>
        <w:spacing w:before="300" w:after="150" w:line="360" w:lineRule="auto"/>
        <w:jc w:val="both"/>
      </w:pPr>
      <w:r w:rsidRPr="00AD0FF4">
        <w:rPr>
          <w:b/>
          <w:bCs/>
        </w:rPr>
        <w:t>6.4.3 Hoshi and Kashyap (2004): The Financial Fragility Account</w:t>
      </w:r>
    </w:p>
    <w:p w14:paraId="41A63F67" w14:textId="77777777" w:rsidR="006D4392" w:rsidRPr="00AD0FF4" w:rsidRDefault="00683A75" w:rsidP="00AD0FF4">
      <w:pPr>
        <w:spacing w:after="200" w:line="360" w:lineRule="auto"/>
        <w:jc w:val="both"/>
      </w:pPr>
      <w:r w:rsidRPr="00AD0FF4">
        <w:t>Hoshi and Kashyap (2004) attribute Japan’s stagnation to post-bubble financial fragility — the NPL overhang, credit crunch, and delayed bank balance sheet repair that compressed investment throughout the 1990s. This account correctly identifies the financial transmission mechanism but frames the Lost Decades as a prolonged credit cycle rather than an institutional regime shift.</w:t>
      </w:r>
    </w:p>
    <w:p w14:paraId="21DB3420" w14:textId="77777777" w:rsidR="006D4392" w:rsidRPr="00AD0FF4" w:rsidRDefault="00683A75" w:rsidP="00AD0FF4">
      <w:pPr>
        <w:spacing w:after="200" w:line="360" w:lineRule="auto"/>
        <w:jc w:val="both"/>
      </w:pPr>
      <w:r w:rsidRPr="00AD0FF4">
        <w:t xml:space="preserve">The fundamental limitation of the financial fragility account is that it cannot explain why recovery after NPL cleanup remained weak. By the mid-2000s, Japanese bank balance sheets had been substantially repaired, yet growth remained depressed and Abenomics’ massive liquidity injection still failed to restore co-prosperity. GTED explains this directly: the EE institutional architecture </w:t>
      </w:r>
      <w:r w:rsidRPr="00AD0FF4">
        <w:lastRenderedPageBreak/>
        <w:t>— lifetime employment, regional equalisation subsidies, welfare state expansion, and remaining zombie firm support — was fully intact after NPL resolution. Financial repair does not restore the performance-reward linkage that EE institutions have severed.</w:t>
      </w:r>
    </w:p>
    <w:p w14:paraId="716B8411" w14:textId="77777777" w:rsidR="006D4392" w:rsidRPr="00AD0FF4" w:rsidRDefault="00683A75" w:rsidP="00AD0FF4">
      <w:pPr>
        <w:spacing w:before="300" w:after="150" w:line="360" w:lineRule="auto"/>
        <w:jc w:val="both"/>
      </w:pPr>
      <w:r w:rsidRPr="00AD0FF4">
        <w:rPr>
          <w:b/>
          <w:bCs/>
        </w:rPr>
        <w:t>6.4.4 Krugman (1998): The Liquidity Trap Account</w:t>
      </w:r>
    </w:p>
    <w:p w14:paraId="44B67537" w14:textId="77777777" w:rsidR="006D4392" w:rsidRPr="00AD0FF4" w:rsidRDefault="00683A75" w:rsidP="00AD0FF4">
      <w:pPr>
        <w:spacing w:after="200" w:line="360" w:lineRule="auto"/>
        <w:jc w:val="both"/>
      </w:pPr>
      <w:r w:rsidRPr="00AD0FF4">
        <w:t xml:space="preserve">Krugman (1998) diagnoses Japan’s stagnation as a liquidity trap: the zero lower bound on nominal interest rates rendered monetary policy ineffective, deflationary expectations became self-fulfilling, and investment collapsed. His prescription — credibly commit to inflation — was implemented at unprecedented scale by </w:t>
      </w:r>
      <w:r w:rsidRPr="00AD0FF4">
        <w:rPr>
          <w:color w:val="EE0000"/>
        </w:rPr>
        <w:t xml:space="preserve">Abenomics’ QQE </w:t>
      </w:r>
      <w:r w:rsidRPr="00AD0FF4">
        <w:t>from 2013, expanding the monetary base by over ¥300 trillion.</w:t>
      </w:r>
    </w:p>
    <w:p w14:paraId="26BB8E55" w14:textId="77777777" w:rsidR="006D4392" w:rsidRPr="00AD0FF4" w:rsidRDefault="00683A75" w:rsidP="00AD0FF4">
      <w:pPr>
        <w:spacing w:after="200" w:line="360" w:lineRule="auto"/>
        <w:jc w:val="both"/>
      </w:pPr>
      <w:r w:rsidRPr="00AD0FF4">
        <w:t>Abenomics provides the decisive empirical test of the Krugman hypothesis — and GTED’s prediction. Monetary stimulus partially restored CA’s growth role (0.138*** in Phase 3 vs. 0.018 n.s. in Phase 2), consistent with GTED’s prediction that monetary accommodation can reflate asset prices. But co-prosperity was not achieved: CA→Gini remained positive (+0.043***), the Gini intercept surged, and θ fell further (0.672 vs. 0.691 in Phase 2). GTED uniquely predicts this outcome: monetary policy cannot restore the performance-reward linkage that EE institutions have severed because that linkage is institutional, not monetary. Krugman’s prescription addresses the symptom (deflation) without reaching the cause (EE institutional capture).</w:t>
      </w:r>
    </w:p>
    <w:p w14:paraId="04501412" w14:textId="77777777" w:rsidR="006D4392" w:rsidRPr="00AD0FF4" w:rsidRDefault="00683A75" w:rsidP="00AD0FF4">
      <w:pPr>
        <w:spacing w:before="300" w:after="150" w:line="360" w:lineRule="auto"/>
        <w:jc w:val="both"/>
      </w:pPr>
      <w:r w:rsidRPr="00AD0FF4">
        <w:rPr>
          <w:b/>
          <w:bCs/>
        </w:rPr>
        <w:t>6.4.5 GTED’s Unique Contributions: A Summary</w:t>
      </w:r>
    </w:p>
    <w:p w14:paraId="0F1EAB11" w14:textId="77777777" w:rsidR="006D4392" w:rsidRPr="00AD0FF4" w:rsidRDefault="00683A75" w:rsidP="00AD0FF4">
      <w:pPr>
        <w:spacing w:after="200" w:line="360" w:lineRule="auto"/>
        <w:jc w:val="both"/>
      </w:pPr>
      <w:r w:rsidRPr="00AD0FF4">
        <w:t>Table 5 summarizes the comparison systematically. GTED makes four contributions that no existing account provides individually or collectively.</w:t>
      </w:r>
    </w:p>
    <w:p w14:paraId="26956B51" w14:textId="77777777" w:rsidR="006D4392" w:rsidRPr="00AD0FF4" w:rsidRDefault="006D4392" w:rsidP="00AD0FF4">
      <w:pPr>
        <w:spacing w:after="200" w:line="360" w:lineRule="auto"/>
        <w:jc w:val="both"/>
      </w:pPr>
    </w:p>
    <w:p w14:paraId="16121085" w14:textId="4ADA72E9" w:rsidR="006D4392" w:rsidRPr="00AD0FF4" w:rsidRDefault="00683A75" w:rsidP="00AD0FF4">
      <w:pPr>
        <w:spacing w:after="200" w:line="360" w:lineRule="auto"/>
        <w:jc w:val="both"/>
      </w:pPr>
      <w:r w:rsidRPr="00AD0FF4">
        <w:rPr>
          <w:rFonts w:eastAsia="Times New Roman"/>
          <w:b/>
          <w:bCs/>
          <w:sz w:val="22"/>
          <w:szCs w:val="22"/>
        </w:rPr>
        <w:t>Table 5. Conventional Accounts vs. GTED: Comparative Assessment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209"/>
        <w:gridCol w:w="1414"/>
        <w:gridCol w:w="1404"/>
        <w:gridCol w:w="1394"/>
        <w:gridCol w:w="1639"/>
        <w:gridCol w:w="2300"/>
      </w:tblGrid>
      <w:tr w:rsidR="006D4392" w:rsidRPr="00AD0FF4" w14:paraId="1EC7B091" w14:textId="77777777">
        <w:tc>
          <w:tcPr>
            <w:tcW w:w="0" w:type="auto"/>
            <w:tcBorders>
              <w:top w:val="single" w:sz="4" w:space="0" w:color="2E4B8F"/>
              <w:left w:val="single" w:sz="4" w:space="0" w:color="2E4B8F"/>
              <w:bottom w:val="single" w:sz="4" w:space="0" w:color="2E4B8F"/>
              <w:right w:val="single" w:sz="4" w:space="0" w:color="2E4B8F"/>
            </w:tcBorders>
            <w:shd w:val="clear" w:color="auto" w:fill="2E4B8F"/>
          </w:tcPr>
          <w:p w14:paraId="4E107F21" w14:textId="77777777" w:rsidR="006D4392" w:rsidRPr="00AD0FF4" w:rsidRDefault="00683A75" w:rsidP="00AD0FF4">
            <w:pPr>
              <w:spacing w:after="200" w:line="360" w:lineRule="auto"/>
            </w:pPr>
            <w:r w:rsidRPr="00AD0FF4">
              <w:rPr>
                <w:rFonts w:eastAsia="Times New Roman"/>
                <w:b/>
                <w:bCs/>
                <w:color w:val="FFFFFF"/>
                <w:sz w:val="18"/>
                <w:szCs w:val="18"/>
              </w:rPr>
              <w:t>Criterion</w:t>
            </w:r>
          </w:p>
        </w:tc>
        <w:tc>
          <w:tcPr>
            <w:tcW w:w="0" w:type="auto"/>
            <w:tcBorders>
              <w:top w:val="single" w:sz="4" w:space="0" w:color="2E4B8F"/>
              <w:left w:val="single" w:sz="4" w:space="0" w:color="2E4B8F"/>
              <w:bottom w:val="single" w:sz="4" w:space="0" w:color="2E4B8F"/>
              <w:right w:val="single" w:sz="4" w:space="0" w:color="2E4B8F"/>
            </w:tcBorders>
            <w:shd w:val="clear" w:color="auto" w:fill="2E4B8F"/>
          </w:tcPr>
          <w:p w14:paraId="69E9F365" w14:textId="77777777" w:rsidR="006D4392" w:rsidRPr="00AD0FF4" w:rsidRDefault="00683A75" w:rsidP="00AD0FF4">
            <w:pPr>
              <w:spacing w:after="200" w:line="360" w:lineRule="auto"/>
            </w:pPr>
            <w:r w:rsidRPr="00AD0FF4">
              <w:rPr>
                <w:rFonts w:eastAsia="Times New Roman"/>
                <w:b/>
                <w:bCs/>
                <w:color w:val="FFFFFF"/>
                <w:sz w:val="18"/>
                <w:szCs w:val="18"/>
              </w:rPr>
              <w:t>Hayashi &amp; Prescott (2002)</w:t>
            </w:r>
          </w:p>
        </w:tc>
        <w:tc>
          <w:tcPr>
            <w:tcW w:w="0" w:type="auto"/>
            <w:tcBorders>
              <w:top w:val="single" w:sz="4" w:space="0" w:color="2E4B8F"/>
              <w:left w:val="single" w:sz="4" w:space="0" w:color="2E4B8F"/>
              <w:bottom w:val="single" w:sz="4" w:space="0" w:color="2E4B8F"/>
              <w:right w:val="single" w:sz="4" w:space="0" w:color="2E4B8F"/>
            </w:tcBorders>
            <w:shd w:val="clear" w:color="auto" w:fill="2E4B8F"/>
          </w:tcPr>
          <w:p w14:paraId="4F2B64CC" w14:textId="77777777" w:rsidR="006D4392" w:rsidRPr="00AD0FF4" w:rsidRDefault="00683A75" w:rsidP="00AD0FF4">
            <w:pPr>
              <w:spacing w:after="200" w:line="360" w:lineRule="auto"/>
            </w:pPr>
            <w:r w:rsidRPr="00AD0FF4">
              <w:rPr>
                <w:rFonts w:eastAsia="Times New Roman"/>
                <w:b/>
                <w:bCs/>
                <w:color w:val="FFFFFF"/>
                <w:sz w:val="18"/>
                <w:szCs w:val="18"/>
              </w:rPr>
              <w:t>Caballero et al. (2008)</w:t>
            </w:r>
          </w:p>
        </w:tc>
        <w:tc>
          <w:tcPr>
            <w:tcW w:w="0" w:type="auto"/>
            <w:tcBorders>
              <w:top w:val="single" w:sz="4" w:space="0" w:color="2E4B8F"/>
              <w:left w:val="single" w:sz="4" w:space="0" w:color="2E4B8F"/>
              <w:bottom w:val="single" w:sz="4" w:space="0" w:color="2E4B8F"/>
              <w:right w:val="single" w:sz="4" w:space="0" w:color="2E4B8F"/>
            </w:tcBorders>
            <w:shd w:val="clear" w:color="auto" w:fill="2E4B8F"/>
          </w:tcPr>
          <w:p w14:paraId="4EC6D0A8" w14:textId="77777777" w:rsidR="006D4392" w:rsidRPr="00AD0FF4" w:rsidRDefault="00683A75" w:rsidP="00AD0FF4">
            <w:pPr>
              <w:spacing w:after="200" w:line="360" w:lineRule="auto"/>
            </w:pPr>
            <w:r w:rsidRPr="00AD0FF4">
              <w:rPr>
                <w:rFonts w:eastAsia="Times New Roman"/>
                <w:b/>
                <w:bCs/>
                <w:color w:val="FFFFFF"/>
                <w:sz w:val="18"/>
                <w:szCs w:val="18"/>
              </w:rPr>
              <w:t>Hoshi &amp; Kashyap (2004)</w:t>
            </w:r>
          </w:p>
        </w:tc>
        <w:tc>
          <w:tcPr>
            <w:tcW w:w="0" w:type="auto"/>
            <w:tcBorders>
              <w:top w:val="single" w:sz="4" w:space="0" w:color="2E4B8F"/>
              <w:left w:val="single" w:sz="4" w:space="0" w:color="2E4B8F"/>
              <w:bottom w:val="single" w:sz="4" w:space="0" w:color="2E4B8F"/>
              <w:right w:val="single" w:sz="4" w:space="0" w:color="2E4B8F"/>
            </w:tcBorders>
            <w:shd w:val="clear" w:color="auto" w:fill="2E4B8F"/>
          </w:tcPr>
          <w:p w14:paraId="3C3FA21C" w14:textId="77777777" w:rsidR="006D4392" w:rsidRPr="00AD0FF4" w:rsidRDefault="00683A75" w:rsidP="00AD0FF4">
            <w:pPr>
              <w:spacing w:after="200" w:line="360" w:lineRule="auto"/>
            </w:pPr>
            <w:r w:rsidRPr="00AD0FF4">
              <w:rPr>
                <w:rFonts w:eastAsia="Times New Roman"/>
                <w:b/>
                <w:bCs/>
                <w:color w:val="FFFFFF"/>
                <w:sz w:val="18"/>
                <w:szCs w:val="18"/>
              </w:rPr>
              <w:t>Krugman (1998)</w:t>
            </w:r>
          </w:p>
        </w:tc>
        <w:tc>
          <w:tcPr>
            <w:tcW w:w="0" w:type="auto"/>
            <w:tcBorders>
              <w:top w:val="single" w:sz="4" w:space="0" w:color="2E4B8F"/>
              <w:left w:val="single" w:sz="4" w:space="0" w:color="2E4B8F"/>
              <w:bottom w:val="single" w:sz="4" w:space="0" w:color="2E4B8F"/>
              <w:right w:val="single" w:sz="4" w:space="0" w:color="2E4B8F"/>
            </w:tcBorders>
            <w:shd w:val="clear" w:color="auto" w:fill="2E4B8F"/>
          </w:tcPr>
          <w:p w14:paraId="703AE748" w14:textId="77777777" w:rsidR="006D4392" w:rsidRPr="00AD0FF4" w:rsidRDefault="00683A75" w:rsidP="00AD0FF4">
            <w:pPr>
              <w:spacing w:after="200" w:line="360" w:lineRule="auto"/>
            </w:pPr>
            <w:r w:rsidRPr="00AD0FF4">
              <w:rPr>
                <w:rFonts w:eastAsia="Times New Roman"/>
                <w:b/>
                <w:bCs/>
                <w:color w:val="FFFFFF"/>
                <w:sz w:val="18"/>
                <w:szCs w:val="18"/>
              </w:rPr>
              <w:t>GTED (This paper)</w:t>
            </w:r>
          </w:p>
        </w:tc>
      </w:tr>
      <w:tr w:rsidR="006D4392" w:rsidRPr="00AD0FF4" w14:paraId="3306B5C9" w14:textId="77777777">
        <w:tc>
          <w:tcPr>
            <w:tcW w:w="0" w:type="auto"/>
            <w:tcBorders>
              <w:top w:val="single" w:sz="1" w:space="0" w:color="CCCCCC"/>
              <w:left w:val="single" w:sz="1" w:space="0" w:color="CCCCCC"/>
              <w:bottom w:val="single" w:sz="1" w:space="0" w:color="CCCCCC"/>
              <w:right w:val="single" w:sz="1" w:space="0" w:color="CCCCCC"/>
            </w:tcBorders>
            <w:shd w:val="clear" w:color="auto" w:fill="F0F4FF"/>
          </w:tcPr>
          <w:p w14:paraId="6DCD6471" w14:textId="77777777" w:rsidR="006D4392" w:rsidRPr="00AD0FF4" w:rsidRDefault="00683A75" w:rsidP="00AD0FF4">
            <w:pPr>
              <w:spacing w:after="200" w:line="360" w:lineRule="auto"/>
            </w:pPr>
            <w:r w:rsidRPr="00AD0FF4">
              <w:rPr>
                <w:rFonts w:eastAsia="Times New Roman"/>
                <w:b/>
                <w:bCs/>
                <w:sz w:val="18"/>
                <w:szCs w:val="18"/>
              </w:rPr>
              <w:t>Root cause identified</w:t>
            </w:r>
          </w:p>
        </w:tc>
        <w:tc>
          <w:tcPr>
            <w:tcW w:w="0" w:type="auto"/>
            <w:tcBorders>
              <w:top w:val="single" w:sz="1" w:space="0" w:color="CCCCCC"/>
              <w:left w:val="single" w:sz="1" w:space="0" w:color="CCCCCC"/>
              <w:bottom w:val="single" w:sz="1" w:space="0" w:color="CCCCCC"/>
              <w:right w:val="single" w:sz="1" w:space="0" w:color="CCCCCC"/>
            </w:tcBorders>
            <w:shd w:val="clear" w:color="auto" w:fill="F0F4FF"/>
          </w:tcPr>
          <w:p w14:paraId="7B9344F9" w14:textId="77777777" w:rsidR="006D4392" w:rsidRPr="00AD0FF4" w:rsidRDefault="00683A75" w:rsidP="00AD0FF4">
            <w:pPr>
              <w:spacing w:after="200" w:line="360" w:lineRule="auto"/>
            </w:pPr>
            <w:r w:rsidRPr="00AD0FF4">
              <w:rPr>
                <w:rFonts w:eastAsia="Times New Roman"/>
                <w:sz w:val="18"/>
                <w:szCs w:val="18"/>
              </w:rPr>
              <w:t>TFP collapse + work-hour reduction</w:t>
            </w:r>
          </w:p>
        </w:tc>
        <w:tc>
          <w:tcPr>
            <w:tcW w:w="0" w:type="auto"/>
            <w:tcBorders>
              <w:top w:val="single" w:sz="1" w:space="0" w:color="CCCCCC"/>
              <w:left w:val="single" w:sz="1" w:space="0" w:color="CCCCCC"/>
              <w:bottom w:val="single" w:sz="1" w:space="0" w:color="CCCCCC"/>
              <w:right w:val="single" w:sz="1" w:space="0" w:color="CCCCCC"/>
            </w:tcBorders>
            <w:shd w:val="clear" w:color="auto" w:fill="F0F4FF"/>
          </w:tcPr>
          <w:p w14:paraId="5BCA0376" w14:textId="77777777" w:rsidR="006D4392" w:rsidRPr="00AD0FF4" w:rsidRDefault="00683A75" w:rsidP="00AD0FF4">
            <w:pPr>
              <w:spacing w:after="200" w:line="360" w:lineRule="auto"/>
            </w:pPr>
            <w:r w:rsidRPr="00AD0FF4">
              <w:rPr>
                <w:rFonts w:eastAsia="Times New Roman"/>
                <w:sz w:val="18"/>
                <w:szCs w:val="18"/>
              </w:rPr>
              <w:t>Zombie firm forbearance by banks</w:t>
            </w:r>
          </w:p>
        </w:tc>
        <w:tc>
          <w:tcPr>
            <w:tcW w:w="0" w:type="auto"/>
            <w:tcBorders>
              <w:top w:val="single" w:sz="1" w:space="0" w:color="CCCCCC"/>
              <w:left w:val="single" w:sz="1" w:space="0" w:color="CCCCCC"/>
              <w:bottom w:val="single" w:sz="1" w:space="0" w:color="CCCCCC"/>
              <w:right w:val="single" w:sz="1" w:space="0" w:color="CCCCCC"/>
            </w:tcBorders>
            <w:shd w:val="clear" w:color="auto" w:fill="F0F4FF"/>
          </w:tcPr>
          <w:p w14:paraId="6FF39B35" w14:textId="77777777" w:rsidR="006D4392" w:rsidRPr="00AD0FF4" w:rsidRDefault="00683A75" w:rsidP="00AD0FF4">
            <w:pPr>
              <w:spacing w:after="200" w:line="360" w:lineRule="auto"/>
            </w:pPr>
            <w:r w:rsidRPr="00AD0FF4">
              <w:rPr>
                <w:rFonts w:eastAsia="Times New Roman"/>
                <w:sz w:val="18"/>
                <w:szCs w:val="18"/>
              </w:rPr>
              <w:t>NPL overhang + credit crunch</w:t>
            </w:r>
          </w:p>
        </w:tc>
        <w:tc>
          <w:tcPr>
            <w:tcW w:w="0" w:type="auto"/>
            <w:tcBorders>
              <w:top w:val="single" w:sz="1" w:space="0" w:color="CCCCCC"/>
              <w:left w:val="single" w:sz="1" w:space="0" w:color="CCCCCC"/>
              <w:bottom w:val="single" w:sz="1" w:space="0" w:color="CCCCCC"/>
              <w:right w:val="single" w:sz="1" w:space="0" w:color="CCCCCC"/>
            </w:tcBorders>
            <w:shd w:val="clear" w:color="auto" w:fill="F0F4FF"/>
          </w:tcPr>
          <w:p w14:paraId="6F963C2F" w14:textId="77777777" w:rsidR="006D4392" w:rsidRPr="00AD0FF4" w:rsidRDefault="00683A75" w:rsidP="00AD0FF4">
            <w:pPr>
              <w:spacing w:after="200" w:line="360" w:lineRule="auto"/>
            </w:pPr>
            <w:r w:rsidRPr="00AD0FF4">
              <w:rPr>
                <w:rFonts w:eastAsia="Times New Roman"/>
                <w:sz w:val="18"/>
                <w:szCs w:val="18"/>
              </w:rPr>
              <w:t>Liquidity trap + deflationary expectations</w:t>
            </w:r>
          </w:p>
        </w:tc>
        <w:tc>
          <w:tcPr>
            <w:tcW w:w="0" w:type="auto"/>
            <w:tcBorders>
              <w:top w:val="single" w:sz="1" w:space="0" w:color="CCCCCC"/>
              <w:left w:val="single" w:sz="1" w:space="0" w:color="CCCCCC"/>
              <w:bottom w:val="single" w:sz="1" w:space="0" w:color="CCCCCC"/>
              <w:right w:val="single" w:sz="1" w:space="0" w:color="CCCCCC"/>
            </w:tcBorders>
            <w:shd w:val="clear" w:color="auto" w:fill="E8F4E8"/>
          </w:tcPr>
          <w:p w14:paraId="718FC1B2" w14:textId="77777777" w:rsidR="006D4392" w:rsidRPr="00AD0FF4" w:rsidRDefault="00683A75" w:rsidP="00AD0FF4">
            <w:pPr>
              <w:spacing w:after="200" w:line="360" w:lineRule="auto"/>
            </w:pPr>
            <w:r w:rsidRPr="00AD0FF4">
              <w:rPr>
                <w:rFonts w:eastAsia="Times New Roman"/>
                <w:b/>
                <w:bCs/>
                <w:sz w:val="18"/>
                <w:szCs w:val="18"/>
              </w:rPr>
              <w:t xml:space="preserve">EE political capture of corporate economy (Tanaka 1972 → bubble → Lost </w:t>
            </w:r>
            <w:r w:rsidRPr="00AD0FF4">
              <w:rPr>
                <w:rFonts w:eastAsia="Times New Roman"/>
                <w:b/>
                <w:bCs/>
                <w:sz w:val="18"/>
                <w:szCs w:val="18"/>
              </w:rPr>
              <w:lastRenderedPageBreak/>
              <w:t>Decades)</w:t>
            </w:r>
          </w:p>
        </w:tc>
      </w:tr>
      <w:tr w:rsidR="006D4392" w:rsidRPr="00AD0FF4" w14:paraId="0575F762" w14:textId="77777777">
        <w:tc>
          <w:tcPr>
            <w:tcW w:w="0" w:type="auto"/>
            <w:tcBorders>
              <w:top w:val="single" w:sz="1" w:space="0" w:color="CCCCCC"/>
              <w:left w:val="single" w:sz="1" w:space="0" w:color="CCCCCC"/>
              <w:bottom w:val="single" w:sz="1" w:space="0" w:color="CCCCCC"/>
              <w:right w:val="single" w:sz="1" w:space="0" w:color="CCCCCC"/>
            </w:tcBorders>
            <w:shd w:val="clear" w:color="auto" w:fill="FFFFFF"/>
          </w:tcPr>
          <w:p w14:paraId="2378BE0E" w14:textId="77777777" w:rsidR="006D4392" w:rsidRPr="00AD0FF4" w:rsidRDefault="00683A75" w:rsidP="00AD0FF4">
            <w:pPr>
              <w:spacing w:after="200" w:line="360" w:lineRule="auto"/>
            </w:pPr>
            <w:r w:rsidRPr="00AD0FF4">
              <w:rPr>
                <w:rFonts w:eastAsia="Times New Roman"/>
                <w:b/>
                <w:bCs/>
                <w:sz w:val="18"/>
                <w:szCs w:val="18"/>
              </w:rPr>
              <w:lastRenderedPageBreak/>
              <w:t>Mechanism</w:t>
            </w:r>
          </w:p>
        </w:tc>
        <w:tc>
          <w:tcPr>
            <w:tcW w:w="0" w:type="auto"/>
            <w:tcBorders>
              <w:top w:val="single" w:sz="1" w:space="0" w:color="CCCCCC"/>
              <w:left w:val="single" w:sz="1" w:space="0" w:color="CCCCCC"/>
              <w:bottom w:val="single" w:sz="1" w:space="0" w:color="CCCCCC"/>
              <w:right w:val="single" w:sz="1" w:space="0" w:color="CCCCCC"/>
            </w:tcBorders>
            <w:shd w:val="clear" w:color="auto" w:fill="FFFFFF"/>
          </w:tcPr>
          <w:p w14:paraId="6A1FF759" w14:textId="77777777" w:rsidR="006D4392" w:rsidRPr="00AD0FF4" w:rsidRDefault="00683A75" w:rsidP="00AD0FF4">
            <w:pPr>
              <w:spacing w:after="200" w:line="360" w:lineRule="auto"/>
            </w:pPr>
            <w:r w:rsidRPr="00AD0FF4">
              <w:rPr>
                <w:rFonts w:eastAsia="Times New Roman"/>
                <w:sz w:val="18"/>
                <w:szCs w:val="18"/>
              </w:rPr>
              <w:t>Solow residual (TFP) declines; regulatory hours reduction</w:t>
            </w:r>
          </w:p>
        </w:tc>
        <w:tc>
          <w:tcPr>
            <w:tcW w:w="0" w:type="auto"/>
            <w:tcBorders>
              <w:top w:val="single" w:sz="1" w:space="0" w:color="CCCCCC"/>
              <w:left w:val="single" w:sz="1" w:space="0" w:color="CCCCCC"/>
              <w:bottom w:val="single" w:sz="1" w:space="0" w:color="CCCCCC"/>
              <w:right w:val="single" w:sz="1" w:space="0" w:color="CCCCCC"/>
            </w:tcBorders>
            <w:shd w:val="clear" w:color="auto" w:fill="FFFFFF"/>
          </w:tcPr>
          <w:p w14:paraId="6761107C" w14:textId="77777777" w:rsidR="006D4392" w:rsidRPr="00AD0FF4" w:rsidRDefault="00683A75" w:rsidP="00AD0FF4">
            <w:pPr>
              <w:spacing w:after="200" w:line="360" w:lineRule="auto"/>
            </w:pPr>
            <w:r w:rsidRPr="00AD0FF4">
              <w:rPr>
                <w:rFonts w:eastAsia="Times New Roman"/>
                <w:sz w:val="18"/>
                <w:szCs w:val="18"/>
              </w:rPr>
              <w:t>Zombie credit congests healthy firm entry + wages</w:t>
            </w:r>
          </w:p>
        </w:tc>
        <w:tc>
          <w:tcPr>
            <w:tcW w:w="0" w:type="auto"/>
            <w:tcBorders>
              <w:top w:val="single" w:sz="1" w:space="0" w:color="CCCCCC"/>
              <w:left w:val="single" w:sz="1" w:space="0" w:color="CCCCCC"/>
              <w:bottom w:val="single" w:sz="1" w:space="0" w:color="CCCCCC"/>
              <w:right w:val="single" w:sz="1" w:space="0" w:color="CCCCCC"/>
            </w:tcBorders>
            <w:shd w:val="clear" w:color="auto" w:fill="FFFFFF"/>
          </w:tcPr>
          <w:p w14:paraId="11C24841" w14:textId="77777777" w:rsidR="006D4392" w:rsidRPr="00AD0FF4" w:rsidRDefault="00683A75" w:rsidP="00AD0FF4">
            <w:pPr>
              <w:spacing w:after="200" w:line="360" w:lineRule="auto"/>
            </w:pPr>
            <w:r w:rsidRPr="00AD0FF4">
              <w:rPr>
                <w:rFonts w:eastAsia="Times New Roman"/>
                <w:sz w:val="18"/>
                <w:szCs w:val="18"/>
              </w:rPr>
              <w:t>Bank balance sheet repair delays investment recovery</w:t>
            </w:r>
          </w:p>
        </w:tc>
        <w:tc>
          <w:tcPr>
            <w:tcW w:w="0" w:type="auto"/>
            <w:tcBorders>
              <w:top w:val="single" w:sz="1" w:space="0" w:color="CCCCCC"/>
              <w:left w:val="single" w:sz="1" w:space="0" w:color="CCCCCC"/>
              <w:bottom w:val="single" w:sz="1" w:space="0" w:color="CCCCCC"/>
              <w:right w:val="single" w:sz="1" w:space="0" w:color="CCCCCC"/>
            </w:tcBorders>
            <w:shd w:val="clear" w:color="auto" w:fill="FFFFFF"/>
          </w:tcPr>
          <w:p w14:paraId="655AABF8" w14:textId="77777777" w:rsidR="006D4392" w:rsidRPr="00AD0FF4" w:rsidRDefault="00683A75" w:rsidP="00AD0FF4">
            <w:pPr>
              <w:spacing w:after="200" w:line="360" w:lineRule="auto"/>
            </w:pPr>
            <w:r w:rsidRPr="00AD0FF4">
              <w:rPr>
                <w:rFonts w:eastAsia="Times New Roman"/>
                <w:sz w:val="18"/>
                <w:szCs w:val="18"/>
              </w:rPr>
              <w:t>ZLB renders monetary policy ineffective; deflation self-fulfilling</w:t>
            </w:r>
          </w:p>
        </w:tc>
        <w:tc>
          <w:tcPr>
            <w:tcW w:w="0" w:type="auto"/>
            <w:tcBorders>
              <w:top w:val="single" w:sz="1" w:space="0" w:color="CCCCCC"/>
              <w:left w:val="single" w:sz="1" w:space="0" w:color="CCCCCC"/>
              <w:bottom w:val="single" w:sz="1" w:space="0" w:color="CCCCCC"/>
              <w:right w:val="single" w:sz="1" w:space="0" w:color="CCCCCC"/>
            </w:tcBorders>
            <w:shd w:val="clear" w:color="auto" w:fill="FFFFFF"/>
          </w:tcPr>
          <w:p w14:paraId="6284386F" w14:textId="77777777" w:rsidR="006D4392" w:rsidRPr="00AD0FF4" w:rsidRDefault="00683A75" w:rsidP="00AD0FF4">
            <w:pPr>
              <w:spacing w:after="200" w:line="360" w:lineRule="auto"/>
            </w:pPr>
            <w:r w:rsidRPr="00AD0FF4">
              <w:rPr>
                <w:rFonts w:eastAsia="Times New Roman"/>
                <w:sz w:val="18"/>
                <w:szCs w:val="18"/>
              </w:rPr>
              <w:t>θ suppressed by EE → A decays → CA stagnates → y collapses; CA elasticity 0.229→0.018 n.s.</w:t>
            </w:r>
          </w:p>
        </w:tc>
      </w:tr>
      <w:tr w:rsidR="006D4392" w:rsidRPr="00AD0FF4" w14:paraId="46DB04B6" w14:textId="77777777">
        <w:tc>
          <w:tcPr>
            <w:tcW w:w="0" w:type="auto"/>
            <w:tcBorders>
              <w:top w:val="single" w:sz="1" w:space="0" w:color="CCCCCC"/>
              <w:left w:val="single" w:sz="1" w:space="0" w:color="CCCCCC"/>
              <w:bottom w:val="single" w:sz="1" w:space="0" w:color="CCCCCC"/>
              <w:right w:val="single" w:sz="1" w:space="0" w:color="CCCCCC"/>
            </w:tcBorders>
            <w:shd w:val="clear" w:color="auto" w:fill="F0F4FF"/>
          </w:tcPr>
          <w:p w14:paraId="19A02426" w14:textId="77777777" w:rsidR="006D4392" w:rsidRPr="00AD0FF4" w:rsidRDefault="00683A75" w:rsidP="00AD0FF4">
            <w:pPr>
              <w:spacing w:after="200" w:line="360" w:lineRule="auto"/>
            </w:pPr>
            <w:r w:rsidRPr="00AD0FF4">
              <w:rPr>
                <w:rFonts w:eastAsia="Times New Roman"/>
                <w:b/>
                <w:bCs/>
                <w:sz w:val="18"/>
                <w:szCs w:val="18"/>
              </w:rPr>
              <w:t>Distribution explained?</w:t>
            </w:r>
          </w:p>
        </w:tc>
        <w:tc>
          <w:tcPr>
            <w:tcW w:w="0" w:type="auto"/>
            <w:tcBorders>
              <w:top w:val="single" w:sz="1" w:space="0" w:color="CCCCCC"/>
              <w:left w:val="single" w:sz="1" w:space="0" w:color="CCCCCC"/>
              <w:bottom w:val="single" w:sz="1" w:space="0" w:color="CCCCCC"/>
              <w:right w:val="single" w:sz="1" w:space="0" w:color="CCCCCC"/>
            </w:tcBorders>
            <w:shd w:val="clear" w:color="auto" w:fill="F0F4FF"/>
          </w:tcPr>
          <w:p w14:paraId="2F978C77" w14:textId="77777777" w:rsidR="006D4392" w:rsidRPr="00AD0FF4" w:rsidRDefault="00683A75" w:rsidP="00AD0FF4">
            <w:pPr>
              <w:spacing w:after="200" w:line="360" w:lineRule="auto"/>
            </w:pPr>
            <w:r w:rsidRPr="00AD0FF4">
              <w:rPr>
                <w:rFonts w:eastAsia="Times New Roman"/>
                <w:color w:val="CC0000"/>
                <w:sz w:val="18"/>
                <w:szCs w:val="18"/>
              </w:rPr>
              <w:t>No</w:t>
            </w:r>
          </w:p>
        </w:tc>
        <w:tc>
          <w:tcPr>
            <w:tcW w:w="0" w:type="auto"/>
            <w:tcBorders>
              <w:top w:val="single" w:sz="1" w:space="0" w:color="CCCCCC"/>
              <w:left w:val="single" w:sz="1" w:space="0" w:color="CCCCCC"/>
              <w:bottom w:val="single" w:sz="1" w:space="0" w:color="CCCCCC"/>
              <w:right w:val="single" w:sz="1" w:space="0" w:color="CCCCCC"/>
            </w:tcBorders>
            <w:shd w:val="clear" w:color="auto" w:fill="F0F4FF"/>
          </w:tcPr>
          <w:p w14:paraId="63F46FB8" w14:textId="77777777" w:rsidR="006D4392" w:rsidRPr="00AD0FF4" w:rsidRDefault="00683A75" w:rsidP="00AD0FF4">
            <w:pPr>
              <w:spacing w:after="200" w:line="360" w:lineRule="auto"/>
            </w:pPr>
            <w:r w:rsidRPr="00AD0FF4">
              <w:rPr>
                <w:rFonts w:eastAsia="Times New Roman"/>
                <w:color w:val="CC0000"/>
                <w:sz w:val="18"/>
                <w:szCs w:val="18"/>
              </w:rPr>
              <w:t>No</w:t>
            </w:r>
          </w:p>
        </w:tc>
        <w:tc>
          <w:tcPr>
            <w:tcW w:w="0" w:type="auto"/>
            <w:tcBorders>
              <w:top w:val="single" w:sz="1" w:space="0" w:color="CCCCCC"/>
              <w:left w:val="single" w:sz="1" w:space="0" w:color="CCCCCC"/>
              <w:bottom w:val="single" w:sz="1" w:space="0" w:color="CCCCCC"/>
              <w:right w:val="single" w:sz="1" w:space="0" w:color="CCCCCC"/>
            </w:tcBorders>
            <w:shd w:val="clear" w:color="auto" w:fill="F0F4FF"/>
          </w:tcPr>
          <w:p w14:paraId="336ED26A" w14:textId="77777777" w:rsidR="006D4392" w:rsidRPr="00AD0FF4" w:rsidRDefault="00683A75" w:rsidP="00AD0FF4">
            <w:pPr>
              <w:spacing w:after="200" w:line="360" w:lineRule="auto"/>
            </w:pPr>
            <w:r w:rsidRPr="00AD0FF4">
              <w:rPr>
                <w:rFonts w:eastAsia="Times New Roman"/>
                <w:color w:val="CC0000"/>
                <w:sz w:val="18"/>
                <w:szCs w:val="18"/>
              </w:rPr>
              <w:t>No</w:t>
            </w:r>
          </w:p>
        </w:tc>
        <w:tc>
          <w:tcPr>
            <w:tcW w:w="0" w:type="auto"/>
            <w:tcBorders>
              <w:top w:val="single" w:sz="1" w:space="0" w:color="CCCCCC"/>
              <w:left w:val="single" w:sz="1" w:space="0" w:color="CCCCCC"/>
              <w:bottom w:val="single" w:sz="1" w:space="0" w:color="CCCCCC"/>
              <w:right w:val="single" w:sz="1" w:space="0" w:color="CCCCCC"/>
            </w:tcBorders>
            <w:shd w:val="clear" w:color="auto" w:fill="F0F4FF"/>
          </w:tcPr>
          <w:p w14:paraId="3D8B0DEA" w14:textId="77777777" w:rsidR="006D4392" w:rsidRPr="00AD0FF4" w:rsidRDefault="00683A75" w:rsidP="00AD0FF4">
            <w:pPr>
              <w:spacing w:after="200" w:line="360" w:lineRule="auto"/>
            </w:pPr>
            <w:r w:rsidRPr="00AD0FF4">
              <w:rPr>
                <w:rFonts w:eastAsia="Times New Roman"/>
                <w:color w:val="CC0000"/>
                <w:sz w:val="18"/>
                <w:szCs w:val="18"/>
              </w:rPr>
              <w:t>No</w:t>
            </w:r>
          </w:p>
        </w:tc>
        <w:tc>
          <w:tcPr>
            <w:tcW w:w="0" w:type="auto"/>
            <w:tcBorders>
              <w:top w:val="single" w:sz="1" w:space="0" w:color="CCCCCC"/>
              <w:left w:val="single" w:sz="1" w:space="0" w:color="CCCCCC"/>
              <w:bottom w:val="single" w:sz="1" w:space="0" w:color="CCCCCC"/>
              <w:right w:val="single" w:sz="1" w:space="0" w:color="CCCCCC"/>
            </w:tcBorders>
            <w:shd w:val="clear" w:color="auto" w:fill="E8F4E8"/>
          </w:tcPr>
          <w:p w14:paraId="1AA1A8F2" w14:textId="77777777" w:rsidR="006D4392" w:rsidRPr="00AD0FF4" w:rsidRDefault="00683A75" w:rsidP="00AD0FF4">
            <w:pPr>
              <w:spacing w:after="200" w:line="360" w:lineRule="auto"/>
            </w:pPr>
            <w:r w:rsidRPr="00AD0FF4">
              <w:rPr>
                <w:rFonts w:eastAsia="Times New Roman"/>
                <w:b/>
                <w:bCs/>
                <w:sz w:val="18"/>
                <w:szCs w:val="18"/>
              </w:rPr>
              <w:t>Yes — EE paradox: redistribution worsens market Gini; CA→Gini +0.043*** (no co-prosperity)</w:t>
            </w:r>
          </w:p>
        </w:tc>
      </w:tr>
      <w:tr w:rsidR="006D4392" w:rsidRPr="00AD0FF4" w14:paraId="4612D205" w14:textId="77777777">
        <w:tc>
          <w:tcPr>
            <w:tcW w:w="0" w:type="auto"/>
            <w:tcBorders>
              <w:top w:val="single" w:sz="1" w:space="0" w:color="CCCCCC"/>
              <w:left w:val="single" w:sz="1" w:space="0" w:color="CCCCCC"/>
              <w:bottom w:val="single" w:sz="1" w:space="0" w:color="CCCCCC"/>
              <w:right w:val="single" w:sz="1" w:space="0" w:color="CCCCCC"/>
            </w:tcBorders>
            <w:shd w:val="clear" w:color="auto" w:fill="FFFFFF"/>
          </w:tcPr>
          <w:p w14:paraId="5B5087D1" w14:textId="77777777" w:rsidR="006D4392" w:rsidRPr="00AD0FF4" w:rsidRDefault="00683A75" w:rsidP="00AD0FF4">
            <w:pPr>
              <w:spacing w:after="200" w:line="360" w:lineRule="auto"/>
            </w:pPr>
            <w:r w:rsidRPr="00AD0FF4">
              <w:rPr>
                <w:rFonts w:eastAsia="Times New Roman"/>
                <w:b/>
                <w:bCs/>
                <w:sz w:val="18"/>
                <w:szCs w:val="18"/>
              </w:rPr>
              <w:t>Explains Abenomics failure?</w:t>
            </w:r>
          </w:p>
        </w:tc>
        <w:tc>
          <w:tcPr>
            <w:tcW w:w="0" w:type="auto"/>
            <w:tcBorders>
              <w:top w:val="single" w:sz="1" w:space="0" w:color="CCCCCC"/>
              <w:left w:val="single" w:sz="1" w:space="0" w:color="CCCCCC"/>
              <w:bottom w:val="single" w:sz="1" w:space="0" w:color="CCCCCC"/>
              <w:right w:val="single" w:sz="1" w:space="0" w:color="CCCCCC"/>
            </w:tcBorders>
            <w:shd w:val="clear" w:color="auto" w:fill="FFFFFF"/>
          </w:tcPr>
          <w:p w14:paraId="3B7744A1" w14:textId="77777777" w:rsidR="006D4392" w:rsidRPr="00AD0FF4" w:rsidRDefault="00683A75" w:rsidP="00AD0FF4">
            <w:pPr>
              <w:spacing w:after="200" w:line="360" w:lineRule="auto"/>
            </w:pPr>
            <w:r w:rsidRPr="00AD0FF4">
              <w:rPr>
                <w:rFonts w:eastAsia="Times New Roman"/>
                <w:color w:val="CC0000"/>
                <w:sz w:val="18"/>
                <w:szCs w:val="18"/>
              </w:rPr>
              <w:t>No</w:t>
            </w:r>
          </w:p>
        </w:tc>
        <w:tc>
          <w:tcPr>
            <w:tcW w:w="0" w:type="auto"/>
            <w:tcBorders>
              <w:top w:val="single" w:sz="1" w:space="0" w:color="CCCCCC"/>
              <w:left w:val="single" w:sz="1" w:space="0" w:color="CCCCCC"/>
              <w:bottom w:val="single" w:sz="1" w:space="0" w:color="CCCCCC"/>
              <w:right w:val="single" w:sz="1" w:space="0" w:color="CCCCCC"/>
            </w:tcBorders>
            <w:shd w:val="clear" w:color="auto" w:fill="FFFFFF"/>
          </w:tcPr>
          <w:p w14:paraId="699096F3" w14:textId="77777777" w:rsidR="006D4392" w:rsidRPr="00AD0FF4" w:rsidRDefault="00683A75" w:rsidP="00AD0FF4">
            <w:pPr>
              <w:spacing w:after="200" w:line="360" w:lineRule="auto"/>
            </w:pPr>
            <w:r w:rsidRPr="00AD0FF4">
              <w:rPr>
                <w:rFonts w:eastAsia="Times New Roman"/>
                <w:color w:val="996600"/>
                <w:sz w:val="18"/>
                <w:szCs w:val="18"/>
              </w:rPr>
              <w:t>Partially</w:t>
            </w:r>
          </w:p>
        </w:tc>
        <w:tc>
          <w:tcPr>
            <w:tcW w:w="0" w:type="auto"/>
            <w:tcBorders>
              <w:top w:val="single" w:sz="1" w:space="0" w:color="CCCCCC"/>
              <w:left w:val="single" w:sz="1" w:space="0" w:color="CCCCCC"/>
              <w:bottom w:val="single" w:sz="1" w:space="0" w:color="CCCCCC"/>
              <w:right w:val="single" w:sz="1" w:space="0" w:color="CCCCCC"/>
            </w:tcBorders>
            <w:shd w:val="clear" w:color="auto" w:fill="FFFFFF"/>
          </w:tcPr>
          <w:p w14:paraId="6AFBC689" w14:textId="77777777" w:rsidR="006D4392" w:rsidRPr="00AD0FF4" w:rsidRDefault="00683A75" w:rsidP="00AD0FF4">
            <w:pPr>
              <w:spacing w:after="200" w:line="360" w:lineRule="auto"/>
            </w:pPr>
            <w:r w:rsidRPr="00AD0FF4">
              <w:rPr>
                <w:rFonts w:eastAsia="Times New Roman"/>
                <w:color w:val="CC0000"/>
                <w:sz w:val="18"/>
                <w:szCs w:val="18"/>
              </w:rPr>
              <w:t>No</w:t>
            </w:r>
          </w:p>
        </w:tc>
        <w:tc>
          <w:tcPr>
            <w:tcW w:w="0" w:type="auto"/>
            <w:tcBorders>
              <w:top w:val="single" w:sz="1" w:space="0" w:color="CCCCCC"/>
              <w:left w:val="single" w:sz="1" w:space="0" w:color="CCCCCC"/>
              <w:bottom w:val="single" w:sz="1" w:space="0" w:color="CCCCCC"/>
              <w:right w:val="single" w:sz="1" w:space="0" w:color="CCCCCC"/>
            </w:tcBorders>
            <w:shd w:val="clear" w:color="auto" w:fill="FFFFFF"/>
          </w:tcPr>
          <w:p w14:paraId="57FC62F0" w14:textId="77777777" w:rsidR="006D4392" w:rsidRPr="00AD0FF4" w:rsidRDefault="00683A75" w:rsidP="00AD0FF4">
            <w:pPr>
              <w:spacing w:after="200" w:line="360" w:lineRule="auto"/>
            </w:pPr>
            <w:r w:rsidRPr="00AD0FF4">
              <w:rPr>
                <w:rFonts w:eastAsia="Times New Roman"/>
                <w:color w:val="CC0000"/>
                <w:sz w:val="18"/>
                <w:szCs w:val="18"/>
              </w:rPr>
              <w:t>No — predicts success</w:t>
            </w:r>
          </w:p>
        </w:tc>
        <w:tc>
          <w:tcPr>
            <w:tcW w:w="0" w:type="auto"/>
            <w:tcBorders>
              <w:top w:val="single" w:sz="1" w:space="0" w:color="CCCCCC"/>
              <w:left w:val="single" w:sz="1" w:space="0" w:color="CCCCCC"/>
              <w:bottom w:val="single" w:sz="1" w:space="0" w:color="CCCCCC"/>
              <w:right w:val="single" w:sz="1" w:space="0" w:color="CCCCCC"/>
            </w:tcBorders>
            <w:shd w:val="clear" w:color="auto" w:fill="E8F4E8"/>
          </w:tcPr>
          <w:p w14:paraId="086C840E" w14:textId="77777777" w:rsidR="006D4392" w:rsidRPr="00AD0FF4" w:rsidRDefault="00683A75" w:rsidP="00AD0FF4">
            <w:pPr>
              <w:spacing w:after="200" w:line="360" w:lineRule="auto"/>
            </w:pPr>
            <w:r w:rsidRPr="00AD0FF4">
              <w:rPr>
                <w:rFonts w:eastAsia="Times New Roman"/>
                <w:b/>
                <w:bCs/>
                <w:sz w:val="18"/>
                <w:szCs w:val="18"/>
              </w:rPr>
              <w:t>Yes — monetary stimulus ≠ ED institutional restoration; θ falls further in Ph3</w:t>
            </w:r>
          </w:p>
        </w:tc>
      </w:tr>
      <w:tr w:rsidR="006D4392" w:rsidRPr="00AD0FF4" w14:paraId="0C2ACC4E" w14:textId="77777777">
        <w:tc>
          <w:tcPr>
            <w:tcW w:w="0" w:type="auto"/>
            <w:tcBorders>
              <w:top w:val="single" w:sz="1" w:space="0" w:color="CCCCCC"/>
              <w:left w:val="single" w:sz="1" w:space="0" w:color="CCCCCC"/>
              <w:bottom w:val="single" w:sz="1" w:space="0" w:color="CCCCCC"/>
              <w:right w:val="single" w:sz="1" w:space="0" w:color="CCCCCC"/>
            </w:tcBorders>
            <w:shd w:val="clear" w:color="auto" w:fill="F0F4FF"/>
          </w:tcPr>
          <w:p w14:paraId="5B0FE7DA" w14:textId="77777777" w:rsidR="006D4392" w:rsidRPr="00AD0FF4" w:rsidRDefault="00683A75" w:rsidP="00AD0FF4">
            <w:pPr>
              <w:spacing w:after="200" w:line="360" w:lineRule="auto"/>
            </w:pPr>
            <w:r w:rsidRPr="00AD0FF4">
              <w:rPr>
                <w:rFonts w:eastAsia="Times New Roman"/>
                <w:b/>
                <w:bCs/>
                <w:sz w:val="18"/>
                <w:szCs w:val="18"/>
              </w:rPr>
              <w:t>Political origin identified?</w:t>
            </w:r>
          </w:p>
        </w:tc>
        <w:tc>
          <w:tcPr>
            <w:tcW w:w="0" w:type="auto"/>
            <w:tcBorders>
              <w:top w:val="single" w:sz="1" w:space="0" w:color="CCCCCC"/>
              <w:left w:val="single" w:sz="1" w:space="0" w:color="CCCCCC"/>
              <w:bottom w:val="single" w:sz="1" w:space="0" w:color="CCCCCC"/>
              <w:right w:val="single" w:sz="1" w:space="0" w:color="CCCCCC"/>
            </w:tcBorders>
            <w:shd w:val="clear" w:color="auto" w:fill="F0F4FF"/>
          </w:tcPr>
          <w:p w14:paraId="0C3E6E77" w14:textId="77777777" w:rsidR="006D4392" w:rsidRPr="00AD0FF4" w:rsidRDefault="00683A75" w:rsidP="00AD0FF4">
            <w:pPr>
              <w:spacing w:after="200" w:line="360" w:lineRule="auto"/>
            </w:pPr>
            <w:r w:rsidRPr="00AD0FF4">
              <w:rPr>
                <w:rFonts w:eastAsia="Times New Roman"/>
                <w:color w:val="CC0000"/>
                <w:sz w:val="18"/>
                <w:szCs w:val="18"/>
              </w:rPr>
              <w:t>No</w:t>
            </w:r>
          </w:p>
        </w:tc>
        <w:tc>
          <w:tcPr>
            <w:tcW w:w="0" w:type="auto"/>
            <w:tcBorders>
              <w:top w:val="single" w:sz="1" w:space="0" w:color="CCCCCC"/>
              <w:left w:val="single" w:sz="1" w:space="0" w:color="CCCCCC"/>
              <w:bottom w:val="single" w:sz="1" w:space="0" w:color="CCCCCC"/>
              <w:right w:val="single" w:sz="1" w:space="0" w:color="CCCCCC"/>
            </w:tcBorders>
            <w:shd w:val="clear" w:color="auto" w:fill="F0F4FF"/>
          </w:tcPr>
          <w:p w14:paraId="52207DA8" w14:textId="77777777" w:rsidR="006D4392" w:rsidRPr="00AD0FF4" w:rsidRDefault="00683A75" w:rsidP="00AD0FF4">
            <w:pPr>
              <w:spacing w:after="200" w:line="360" w:lineRule="auto"/>
            </w:pPr>
            <w:r w:rsidRPr="00AD0FF4">
              <w:rPr>
                <w:rFonts w:eastAsia="Times New Roman"/>
                <w:color w:val="CC0000"/>
                <w:sz w:val="18"/>
                <w:szCs w:val="18"/>
              </w:rPr>
              <w:t>No</w:t>
            </w:r>
          </w:p>
        </w:tc>
        <w:tc>
          <w:tcPr>
            <w:tcW w:w="0" w:type="auto"/>
            <w:tcBorders>
              <w:top w:val="single" w:sz="1" w:space="0" w:color="CCCCCC"/>
              <w:left w:val="single" w:sz="1" w:space="0" w:color="CCCCCC"/>
              <w:bottom w:val="single" w:sz="1" w:space="0" w:color="CCCCCC"/>
              <w:right w:val="single" w:sz="1" w:space="0" w:color="CCCCCC"/>
            </w:tcBorders>
            <w:shd w:val="clear" w:color="auto" w:fill="F0F4FF"/>
          </w:tcPr>
          <w:p w14:paraId="4381793D" w14:textId="77777777" w:rsidR="006D4392" w:rsidRPr="00AD0FF4" w:rsidRDefault="00683A75" w:rsidP="00AD0FF4">
            <w:pPr>
              <w:spacing w:after="200" w:line="360" w:lineRule="auto"/>
            </w:pPr>
            <w:r w:rsidRPr="00AD0FF4">
              <w:rPr>
                <w:rFonts w:eastAsia="Times New Roman"/>
                <w:color w:val="CC0000"/>
                <w:sz w:val="18"/>
                <w:szCs w:val="18"/>
              </w:rPr>
              <w:t>No</w:t>
            </w:r>
          </w:p>
        </w:tc>
        <w:tc>
          <w:tcPr>
            <w:tcW w:w="0" w:type="auto"/>
            <w:tcBorders>
              <w:top w:val="single" w:sz="1" w:space="0" w:color="CCCCCC"/>
              <w:left w:val="single" w:sz="1" w:space="0" w:color="CCCCCC"/>
              <w:bottom w:val="single" w:sz="1" w:space="0" w:color="CCCCCC"/>
              <w:right w:val="single" w:sz="1" w:space="0" w:color="CCCCCC"/>
            </w:tcBorders>
            <w:shd w:val="clear" w:color="auto" w:fill="F0F4FF"/>
          </w:tcPr>
          <w:p w14:paraId="5914DF84" w14:textId="77777777" w:rsidR="006D4392" w:rsidRPr="00AD0FF4" w:rsidRDefault="00683A75" w:rsidP="00AD0FF4">
            <w:pPr>
              <w:spacing w:after="200" w:line="360" w:lineRule="auto"/>
            </w:pPr>
            <w:r w:rsidRPr="00AD0FF4">
              <w:rPr>
                <w:rFonts w:eastAsia="Times New Roman"/>
                <w:color w:val="CC0000"/>
                <w:sz w:val="18"/>
                <w:szCs w:val="18"/>
              </w:rPr>
              <w:t>No</w:t>
            </w:r>
          </w:p>
        </w:tc>
        <w:tc>
          <w:tcPr>
            <w:tcW w:w="0" w:type="auto"/>
            <w:tcBorders>
              <w:top w:val="single" w:sz="1" w:space="0" w:color="CCCCCC"/>
              <w:left w:val="single" w:sz="1" w:space="0" w:color="CCCCCC"/>
              <w:bottom w:val="single" w:sz="1" w:space="0" w:color="CCCCCC"/>
              <w:right w:val="single" w:sz="1" w:space="0" w:color="CCCCCC"/>
            </w:tcBorders>
            <w:shd w:val="clear" w:color="auto" w:fill="E8F4E8"/>
          </w:tcPr>
          <w:p w14:paraId="10CFBA4D" w14:textId="77777777" w:rsidR="006D4392" w:rsidRPr="00AD0FF4" w:rsidRDefault="00683A75" w:rsidP="00AD0FF4">
            <w:pPr>
              <w:spacing w:after="200" w:line="360" w:lineRule="auto"/>
            </w:pPr>
            <w:r w:rsidRPr="00AD0FF4">
              <w:rPr>
                <w:rFonts w:eastAsia="Times New Roman"/>
                <w:b/>
                <w:bCs/>
                <w:sz w:val="18"/>
                <w:szCs w:val="18"/>
              </w:rPr>
              <w:t xml:space="preserve">Yes — Tanaka 1972 </w:t>
            </w:r>
            <w:r w:rsidRPr="00AD0FF4">
              <w:rPr>
                <w:rFonts w:ascii="맑은 고딕" w:eastAsia="맑은 고딕" w:hAnsi="맑은 고딕" w:cs="맑은 고딕" w:hint="eastAsia"/>
                <w:b/>
                <w:bCs/>
                <w:sz w:val="18"/>
                <w:szCs w:val="18"/>
              </w:rPr>
              <w:t>日本列島改造論</w:t>
            </w:r>
            <w:r w:rsidRPr="00AD0FF4">
              <w:rPr>
                <w:rFonts w:eastAsia="Times New Roman"/>
                <w:b/>
                <w:bCs/>
                <w:sz w:val="18"/>
                <w:szCs w:val="18"/>
              </w:rPr>
              <w:t>: EE All In triggers land bubble + institutional EE lock-in</w:t>
            </w:r>
          </w:p>
        </w:tc>
      </w:tr>
      <w:tr w:rsidR="006D4392" w:rsidRPr="00AD0FF4" w14:paraId="69FDF079" w14:textId="77777777">
        <w:tc>
          <w:tcPr>
            <w:tcW w:w="0" w:type="auto"/>
            <w:tcBorders>
              <w:top w:val="single" w:sz="1" w:space="0" w:color="CCCCCC"/>
              <w:left w:val="single" w:sz="1" w:space="0" w:color="CCCCCC"/>
              <w:bottom w:val="single" w:sz="1" w:space="0" w:color="CCCCCC"/>
              <w:right w:val="single" w:sz="1" w:space="0" w:color="CCCCCC"/>
            </w:tcBorders>
            <w:shd w:val="clear" w:color="auto" w:fill="FFFFFF"/>
          </w:tcPr>
          <w:p w14:paraId="60EC85E1" w14:textId="77777777" w:rsidR="006D4392" w:rsidRPr="00AD0FF4" w:rsidRDefault="00683A75" w:rsidP="00AD0FF4">
            <w:pPr>
              <w:spacing w:after="200" w:line="360" w:lineRule="auto"/>
            </w:pPr>
            <w:r w:rsidRPr="00AD0FF4">
              <w:rPr>
                <w:rFonts w:eastAsia="Times New Roman"/>
                <w:b/>
                <w:bCs/>
                <w:sz w:val="18"/>
                <w:szCs w:val="18"/>
              </w:rPr>
              <w:t>Universal framework?</w:t>
            </w:r>
          </w:p>
        </w:tc>
        <w:tc>
          <w:tcPr>
            <w:tcW w:w="0" w:type="auto"/>
            <w:tcBorders>
              <w:top w:val="single" w:sz="1" w:space="0" w:color="CCCCCC"/>
              <w:left w:val="single" w:sz="1" w:space="0" w:color="CCCCCC"/>
              <w:bottom w:val="single" w:sz="1" w:space="0" w:color="CCCCCC"/>
              <w:right w:val="single" w:sz="1" w:space="0" w:color="CCCCCC"/>
            </w:tcBorders>
            <w:shd w:val="clear" w:color="auto" w:fill="FFFFFF"/>
          </w:tcPr>
          <w:p w14:paraId="6CD8F5C2" w14:textId="77777777" w:rsidR="006D4392" w:rsidRPr="00AD0FF4" w:rsidRDefault="00683A75" w:rsidP="00AD0FF4">
            <w:pPr>
              <w:spacing w:after="200" w:line="360" w:lineRule="auto"/>
            </w:pPr>
            <w:r w:rsidRPr="00AD0FF4">
              <w:rPr>
                <w:rFonts w:eastAsia="Times New Roman"/>
                <w:color w:val="CC0000"/>
                <w:sz w:val="18"/>
                <w:szCs w:val="18"/>
              </w:rPr>
              <w:t>No — Japan specific</w:t>
            </w:r>
          </w:p>
        </w:tc>
        <w:tc>
          <w:tcPr>
            <w:tcW w:w="0" w:type="auto"/>
            <w:tcBorders>
              <w:top w:val="single" w:sz="1" w:space="0" w:color="CCCCCC"/>
              <w:left w:val="single" w:sz="1" w:space="0" w:color="CCCCCC"/>
              <w:bottom w:val="single" w:sz="1" w:space="0" w:color="CCCCCC"/>
              <w:right w:val="single" w:sz="1" w:space="0" w:color="CCCCCC"/>
            </w:tcBorders>
            <w:shd w:val="clear" w:color="auto" w:fill="FFFFFF"/>
          </w:tcPr>
          <w:p w14:paraId="5A58F854" w14:textId="77777777" w:rsidR="006D4392" w:rsidRPr="00AD0FF4" w:rsidRDefault="00683A75" w:rsidP="00AD0FF4">
            <w:pPr>
              <w:spacing w:after="200" w:line="360" w:lineRule="auto"/>
            </w:pPr>
            <w:r w:rsidRPr="00AD0FF4">
              <w:rPr>
                <w:rFonts w:eastAsia="Times New Roman"/>
                <w:color w:val="CC0000"/>
                <w:sz w:val="18"/>
                <w:szCs w:val="18"/>
              </w:rPr>
              <w:t>No — Japan specific</w:t>
            </w:r>
          </w:p>
        </w:tc>
        <w:tc>
          <w:tcPr>
            <w:tcW w:w="0" w:type="auto"/>
            <w:tcBorders>
              <w:top w:val="single" w:sz="1" w:space="0" w:color="CCCCCC"/>
              <w:left w:val="single" w:sz="1" w:space="0" w:color="CCCCCC"/>
              <w:bottom w:val="single" w:sz="1" w:space="0" w:color="CCCCCC"/>
              <w:right w:val="single" w:sz="1" w:space="0" w:color="CCCCCC"/>
            </w:tcBorders>
            <w:shd w:val="clear" w:color="auto" w:fill="FFFFFF"/>
          </w:tcPr>
          <w:p w14:paraId="223B9B3D" w14:textId="77777777" w:rsidR="006D4392" w:rsidRPr="00AD0FF4" w:rsidRDefault="00683A75" w:rsidP="00AD0FF4">
            <w:pPr>
              <w:spacing w:after="200" w:line="360" w:lineRule="auto"/>
            </w:pPr>
            <w:r w:rsidRPr="00AD0FF4">
              <w:rPr>
                <w:rFonts w:eastAsia="Times New Roman"/>
                <w:color w:val="CC0000"/>
                <w:sz w:val="18"/>
                <w:szCs w:val="18"/>
              </w:rPr>
              <w:t>No — Japan specific</w:t>
            </w:r>
          </w:p>
        </w:tc>
        <w:tc>
          <w:tcPr>
            <w:tcW w:w="0" w:type="auto"/>
            <w:tcBorders>
              <w:top w:val="single" w:sz="1" w:space="0" w:color="CCCCCC"/>
              <w:left w:val="single" w:sz="1" w:space="0" w:color="CCCCCC"/>
              <w:bottom w:val="single" w:sz="1" w:space="0" w:color="CCCCCC"/>
              <w:right w:val="single" w:sz="1" w:space="0" w:color="CCCCCC"/>
            </w:tcBorders>
            <w:shd w:val="clear" w:color="auto" w:fill="FFFFFF"/>
          </w:tcPr>
          <w:p w14:paraId="63BF3C23" w14:textId="77777777" w:rsidR="006D4392" w:rsidRPr="00AD0FF4" w:rsidRDefault="00683A75" w:rsidP="00AD0FF4">
            <w:pPr>
              <w:spacing w:after="200" w:line="360" w:lineRule="auto"/>
            </w:pPr>
            <w:r w:rsidRPr="00AD0FF4">
              <w:rPr>
                <w:rFonts w:eastAsia="Times New Roman"/>
                <w:color w:val="996600"/>
                <w:sz w:val="18"/>
                <w:szCs w:val="18"/>
              </w:rPr>
              <w:t>Partial — liquidity trap general</w:t>
            </w:r>
          </w:p>
        </w:tc>
        <w:tc>
          <w:tcPr>
            <w:tcW w:w="0" w:type="auto"/>
            <w:tcBorders>
              <w:top w:val="single" w:sz="1" w:space="0" w:color="CCCCCC"/>
              <w:left w:val="single" w:sz="1" w:space="0" w:color="CCCCCC"/>
              <w:bottom w:val="single" w:sz="1" w:space="0" w:color="CCCCCC"/>
              <w:right w:val="single" w:sz="1" w:space="0" w:color="CCCCCC"/>
            </w:tcBorders>
            <w:shd w:val="clear" w:color="auto" w:fill="E8F4E8"/>
          </w:tcPr>
          <w:p w14:paraId="3A7307C5" w14:textId="77777777" w:rsidR="006D4392" w:rsidRPr="00AD0FF4" w:rsidRDefault="00683A75" w:rsidP="00AD0FF4">
            <w:pPr>
              <w:spacing w:after="200" w:line="360" w:lineRule="auto"/>
            </w:pPr>
            <w:r w:rsidRPr="00AD0FF4">
              <w:rPr>
                <w:rFonts w:eastAsia="Times New Roman"/>
                <w:b/>
                <w:bCs/>
                <w:sz w:val="18"/>
                <w:szCs w:val="18"/>
              </w:rPr>
              <w:t>Yes — confirmed in Korea, US, 73-country panel (Jwa, 2017, 2024, 2026)</w:t>
            </w:r>
          </w:p>
        </w:tc>
      </w:tr>
    </w:tbl>
    <w:p w14:paraId="541FE1AC" w14:textId="77777777" w:rsidR="006D4392" w:rsidRPr="00AD0FF4" w:rsidRDefault="00683A75" w:rsidP="00AD0FF4">
      <w:pPr>
        <w:spacing w:after="200" w:line="360" w:lineRule="auto"/>
        <w:jc w:val="both"/>
      </w:pPr>
      <w:r w:rsidRPr="00AD0FF4">
        <w:rPr>
          <w:rFonts w:eastAsia="Times New Roman"/>
          <w:sz w:val="18"/>
          <w:szCs w:val="18"/>
        </w:rPr>
        <w:t xml:space="preserve">Notes: </w:t>
      </w:r>
      <w:r w:rsidRPr="00AD0FF4">
        <w:rPr>
          <w:rFonts w:ascii="Segoe UI Symbol" w:eastAsia="Times New Roman" w:hAnsi="Segoe UI Symbol" w:cs="Segoe UI Symbol"/>
          <w:sz w:val="18"/>
          <w:szCs w:val="18"/>
        </w:rPr>
        <w:t>✓</w:t>
      </w:r>
      <w:r w:rsidRPr="00AD0FF4">
        <w:rPr>
          <w:rFonts w:eastAsia="Times New Roman"/>
          <w:sz w:val="18"/>
          <w:szCs w:val="18"/>
        </w:rPr>
        <w:t xml:space="preserve"> = addressed; </w:t>
      </w:r>
      <w:r w:rsidRPr="00AD0FF4">
        <w:rPr>
          <w:rFonts w:ascii="Segoe UI Symbol" w:eastAsia="Times New Roman" w:hAnsi="Segoe UI Symbol" w:cs="Segoe UI Symbol"/>
          <w:sz w:val="18"/>
          <w:szCs w:val="18"/>
        </w:rPr>
        <w:t>✗</w:t>
      </w:r>
      <w:r w:rsidRPr="00AD0FF4">
        <w:rPr>
          <w:rFonts w:eastAsia="Times New Roman"/>
          <w:sz w:val="18"/>
          <w:szCs w:val="18"/>
        </w:rPr>
        <w:t xml:space="preserve"> = not addressed; </w:t>
      </w:r>
      <w:r w:rsidRPr="00AD0FF4">
        <w:rPr>
          <w:rFonts w:ascii="Cambria Math" w:eastAsia="Times New Roman" w:hAnsi="Cambria Math" w:cs="Cambria Math"/>
          <w:sz w:val="18"/>
          <w:szCs w:val="18"/>
        </w:rPr>
        <w:t>△</w:t>
      </w:r>
      <w:r w:rsidRPr="00AD0FF4">
        <w:rPr>
          <w:rFonts w:eastAsia="Times New Roman"/>
          <w:sz w:val="18"/>
          <w:szCs w:val="18"/>
        </w:rPr>
        <w:t xml:space="preserve"> = partially addressed. GTED = General Theory of Economic Development (Jwa, 2017). ZLB = zero lower bound. CA = corporate assets. Regression results from three-regime model, N=34, 1988–2021, HAC SE.</w:t>
      </w:r>
    </w:p>
    <w:p w14:paraId="6621700E" w14:textId="77777777" w:rsidR="006D4392" w:rsidRPr="00AD0FF4" w:rsidRDefault="006D4392" w:rsidP="00AD0FF4">
      <w:pPr>
        <w:spacing w:after="200" w:line="360" w:lineRule="auto"/>
        <w:jc w:val="both"/>
      </w:pPr>
    </w:p>
    <w:p w14:paraId="2BD4AA7F" w14:textId="77777777" w:rsidR="006D4392" w:rsidRPr="00AD0FF4" w:rsidRDefault="00683A75" w:rsidP="00AD0FF4">
      <w:pPr>
        <w:spacing w:after="200" w:line="360" w:lineRule="auto"/>
        <w:jc w:val="both"/>
      </w:pPr>
      <w:r w:rsidRPr="00AD0FF4">
        <w:t>First, GTED identifies the institutional root cause rather than describing symptoms: the progressive EE political capture initiated by Tanaka’s 1972 programme is the common origin of TFP collapse (Hayashi-Prescott), zombie firm proliferation (Caballero et al.), financial fragility (Hoshi-Kashyap), and the liquidity trap’s persistence (Krugman). Each conventional account correctly identifies one transmission mechanism; GTED identifies the institutional source from which all transmission mechanisms flow.</w:t>
      </w:r>
    </w:p>
    <w:p w14:paraId="189D82B6" w14:textId="77777777" w:rsidR="006D4392" w:rsidRPr="00AD0FF4" w:rsidRDefault="00683A75" w:rsidP="00AD0FF4">
      <w:pPr>
        <w:spacing w:after="200" w:line="360" w:lineRule="auto"/>
        <w:jc w:val="both"/>
      </w:pPr>
      <w:r w:rsidRPr="00AD0FF4">
        <w:t xml:space="preserve">Second, GTED provides a unified growth-distribution framework. All four conventional accounts address growth stagnation only; none explains why market income inequality simultaneously worsened despite extensive redistribution. GTED predicts and confirms both outcomes </w:t>
      </w:r>
      <w:r w:rsidRPr="00AD0FF4">
        <w:lastRenderedPageBreak/>
        <w:t>simultaneously through the EE paradox: redistribution suppresses the corporate growth that would otherwise generate endogenous shared prosperity, producing polarized stagnation — slowing growth and worsening inequality together.</w:t>
      </w:r>
    </w:p>
    <w:p w14:paraId="6DAC38E9" w14:textId="77777777" w:rsidR="006D4392" w:rsidRPr="00AD0FF4" w:rsidRDefault="00683A75" w:rsidP="00AD0FF4">
      <w:pPr>
        <w:spacing w:after="200" w:line="360" w:lineRule="auto"/>
        <w:jc w:val="both"/>
      </w:pPr>
      <w:r w:rsidRPr="00AD0FF4">
        <w:t>Third, GTED explains Abenomics’ partial failure with precision that no existing account can match. The conventional accounts would predict either that Abenomics’ massive monetary stimulus should have restored full growth (Krugman) or that NPL resolution combined with monetary stimulus should have been sufficient (Hoshi-Kashyap). GTED predicts partial success (monetary reflation restores some CA growth) and simultaneous failure (co-prosperity not achieved because EE institutional architecture remains intact) — which is precisely what the Phase 3 regression results confirm.</w:t>
      </w:r>
    </w:p>
    <w:p w14:paraId="200FA588" w14:textId="39773AD9" w:rsidR="006D4392" w:rsidRPr="00AD0FF4" w:rsidRDefault="00683A75" w:rsidP="00AD0FF4">
      <w:pPr>
        <w:spacing w:after="200" w:line="360" w:lineRule="auto"/>
        <w:jc w:val="both"/>
      </w:pPr>
      <w:r w:rsidRPr="00AD0FF4">
        <w:t>Fourth, GTED situates Japan within a universal institutional framework confirmed across Korea, the United States, and 73 countries (Jwa, 2017; Jwa, 2024). Japan-specific accounts cannot explain why the same stagnation pattern afflicts Korea after 1988 democratization (Jwa, 2025) and the United States after the welfare state expansion of the 1960s–1970s (Jwa, 2026a). The universality of the EE institutional trap — confirmed across cultures, political systems, and developmental stages — is evidence that GTED has identified a general economic law rather than a Japan-specific pathology.</w:t>
      </w:r>
    </w:p>
    <w:p w14:paraId="134E1BD7" w14:textId="77777777" w:rsidR="006D4392" w:rsidRPr="00AD0FF4" w:rsidRDefault="00683A75" w:rsidP="00AD0FF4">
      <w:pPr>
        <w:pStyle w:val="1"/>
        <w:spacing w:before="400" w:after="200" w:line="360" w:lineRule="auto"/>
        <w:jc w:val="both"/>
      </w:pPr>
      <w:r w:rsidRPr="00AD0FF4">
        <w:rPr>
          <w:rFonts w:eastAsia="Times New Roman"/>
          <w:b/>
          <w:bCs/>
          <w:sz w:val="28"/>
          <w:szCs w:val="28"/>
        </w:rPr>
        <w:t>7. Conclusion</w:t>
      </w:r>
    </w:p>
    <w:p w14:paraId="368ED1E3" w14:textId="77777777" w:rsidR="006D4392" w:rsidRPr="00AD0FF4" w:rsidRDefault="00683A75" w:rsidP="00AD0FF4">
      <w:pPr>
        <w:spacing w:after="200" w:line="360" w:lineRule="auto"/>
        <w:jc w:val="both"/>
      </w:pPr>
      <w:r w:rsidRPr="00AD0FF4">
        <w:rPr>
          <w:rFonts w:eastAsia="Times New Roman"/>
        </w:rPr>
        <w:t>Japan's institutional experiment provides development economics with its most complete test of GTED's core propositions. The three-regime empirical analysis delivers four clear findings. First, corporate asset elasticity of growth collapsed from 0.229*** to 0.018 n.s. across Japan's Lost Decades — the clearest possible empirical signature of EE institutional capture of the corporate economy. Second, Abenomics partially restored CA's growth role (0.138***) but failed to achieve co-prosperity, confirming that monetary stimulus cannot substitute for institutional restoration of ED. Third, Japan has not crossed the co-prosperity threshold — CA growth continues to widen rather than compress market inequality across all three phases, in striking contrast to China's Xi phase. Fourth, the Gini intercept surge in Phase 3 (+0.769***) indicates structural inequality deepening that neither monetary easing nor redistributive expansion can address.</w:t>
      </w:r>
    </w:p>
    <w:p w14:paraId="2016AF95" w14:textId="77777777" w:rsidR="006D4392" w:rsidRPr="00AD0FF4" w:rsidRDefault="00683A75" w:rsidP="00AD0FF4">
      <w:pPr>
        <w:spacing w:after="200" w:line="360" w:lineRule="auto"/>
        <w:jc w:val="both"/>
      </w:pPr>
      <w:r w:rsidRPr="00AD0FF4">
        <w:rPr>
          <w:rFonts w:eastAsia="Times New Roman"/>
        </w:rPr>
        <w:lastRenderedPageBreak/>
        <w:t>The policy implication is direct and unavoidable: Japan's institutional restoration requires not more stimulus but less EE. Specifically: restructuring the labor market to restore the performance-wage linkage (ending the regular/irregular employment dualism); ending zombie firm support that severs corporate competitive discipline; and reorienting government support from universal redistribution to performance-conditional corporate investment — the principles that MITI and the developmental state embodied and that the Lost Decades systematically dismantled. The Abenomics experience confirms that the direction is correct but the dosage of ED restoration was insufficient. Japan's escape from the EET requires completing the institutional agenda that the third arrow left unfinished.</w:t>
      </w:r>
    </w:p>
    <w:p w14:paraId="215AB0DC" w14:textId="77777777" w:rsidR="006D4392" w:rsidRPr="00AD0FF4" w:rsidRDefault="00683A75" w:rsidP="00AD0FF4">
      <w:pPr>
        <w:spacing w:after="200" w:line="360" w:lineRule="auto"/>
        <w:jc w:val="both"/>
      </w:pPr>
      <w:r w:rsidRPr="00AD0FF4">
        <w:rPr>
          <w:rFonts w:eastAsia="Times New Roman"/>
        </w:rPr>
        <w:t>Beyond Japan, this analysis contributes to the emerging consensus on the Mature Democracy Trap as a universal institutional failure mode. Korea, the United States, and most Western democracies are traversing the same EET trajectory at different speeds. The Japanese experience — three decades of documented stagnation with repeated policy interventions that address symptoms rather than causes — provides the canonical case study for what awaits advanced democracies that fail to recognize and reverse the EE institutional drift before the corporate economy's co-prosperity threshold has been crossed.</w:t>
      </w:r>
    </w:p>
    <w:p w14:paraId="2F3FB792" w14:textId="77777777" w:rsidR="006D4392" w:rsidRPr="00AD0FF4" w:rsidRDefault="006D4392" w:rsidP="00AD0FF4">
      <w:pPr>
        <w:spacing w:after="200" w:line="360" w:lineRule="auto"/>
        <w:jc w:val="both"/>
      </w:pPr>
    </w:p>
    <w:p w14:paraId="3A72391A" w14:textId="77777777" w:rsidR="006D4392" w:rsidRPr="00AD0FF4" w:rsidRDefault="00683A75" w:rsidP="00AD0FF4">
      <w:pPr>
        <w:spacing w:before="300" w:after="150" w:line="360" w:lineRule="auto"/>
        <w:jc w:val="both"/>
      </w:pPr>
      <w:r w:rsidRPr="00AD0FF4">
        <w:rPr>
          <w:b/>
          <w:bCs/>
          <w:sz w:val="28"/>
          <w:szCs w:val="28"/>
        </w:rPr>
        <w:t>Appendix: Diagnostic Test Results</w:t>
      </w:r>
    </w:p>
    <w:p w14:paraId="28FAC0D6" w14:textId="2E196762" w:rsidR="006D4392" w:rsidRPr="00AD0FF4" w:rsidRDefault="00683A75" w:rsidP="00AD0FF4">
      <w:pPr>
        <w:spacing w:after="200" w:line="360" w:lineRule="auto"/>
        <w:jc w:val="both"/>
      </w:pPr>
      <w:r w:rsidRPr="00AD0FF4">
        <w:t>This appendix reports the full set of diagnostic tests supporting the three-regime OLS estimation with HAC standard errors presented in Sections 5 and 6.</w:t>
      </w:r>
    </w:p>
    <w:p w14:paraId="36C489B7" w14:textId="77777777" w:rsidR="006D4392" w:rsidRPr="00AD0FF4" w:rsidRDefault="00683A75" w:rsidP="00AD0FF4">
      <w:pPr>
        <w:spacing w:before="300" w:after="150" w:line="360" w:lineRule="auto"/>
        <w:jc w:val="both"/>
      </w:pPr>
      <w:r w:rsidRPr="00AD0FF4">
        <w:rPr>
          <w:b/>
          <w:bCs/>
        </w:rPr>
        <w:t>Table A1: ADF Unit Root Tests</w:t>
      </w:r>
    </w:p>
    <w:p w14:paraId="2CE3FF42" w14:textId="77777777" w:rsidR="006D4392" w:rsidRPr="00AD0FF4" w:rsidRDefault="00683A75" w:rsidP="00AD0FF4">
      <w:pPr>
        <w:spacing w:after="200" w:line="360" w:lineRule="auto"/>
        <w:jc w:val="both"/>
      </w:pPr>
      <w:r w:rsidRPr="00AD0FF4">
        <w:rPr>
          <w:i/>
          <w:iCs/>
          <w:sz w:val="20"/>
          <w:szCs w:val="20"/>
        </w:rPr>
        <w:t>Lag length = 1; level tests use constant + trend; first-difference tests use constant only. MacKinnon (1994) p-values.</w:t>
      </w:r>
    </w:p>
    <w:tbl>
      <w:tblPr>
        <w:tblW w:w="9360" w:type="dxa"/>
        <w:tblBorders>
          <w:top w:val="single" w:sz="4" w:space="0" w:color="auto"/>
          <w:bottom w:val="single" w:sz="4" w:space="0" w:color="auto"/>
          <w:insideH w:val="single" w:sz="4" w:space="0" w:color="auto"/>
        </w:tblBorders>
        <w:tblCellMar>
          <w:left w:w="10" w:type="dxa"/>
          <w:right w:w="10" w:type="dxa"/>
        </w:tblCellMar>
        <w:tblLook w:val="04A0" w:firstRow="1" w:lastRow="0" w:firstColumn="1" w:lastColumn="0" w:noHBand="0" w:noVBand="1"/>
      </w:tblPr>
      <w:tblGrid>
        <w:gridCol w:w="2000"/>
        <w:gridCol w:w="1800"/>
        <w:gridCol w:w="1000"/>
        <w:gridCol w:w="2000"/>
        <w:gridCol w:w="2560"/>
      </w:tblGrid>
      <w:tr w:rsidR="006D4392" w:rsidRPr="00AD0FF4" w14:paraId="28DDAA21" w14:textId="77777777">
        <w:tc>
          <w:tcPr>
            <w:tcW w:w="2000" w:type="dxa"/>
            <w:shd w:val="clear" w:color="auto" w:fill="2E4B8F"/>
          </w:tcPr>
          <w:p w14:paraId="41C44F48" w14:textId="77777777" w:rsidR="006D4392" w:rsidRPr="00AD0FF4" w:rsidRDefault="00683A75" w:rsidP="00AD0FF4">
            <w:pPr>
              <w:spacing w:after="200" w:line="360" w:lineRule="auto"/>
              <w:jc w:val="both"/>
            </w:pPr>
            <w:r w:rsidRPr="00AD0FF4">
              <w:rPr>
                <w:b/>
                <w:bCs/>
                <w:color w:val="FFFFFF"/>
                <w:sz w:val="18"/>
                <w:szCs w:val="18"/>
              </w:rPr>
              <w:t>Variable</w:t>
            </w:r>
          </w:p>
        </w:tc>
        <w:tc>
          <w:tcPr>
            <w:tcW w:w="1800" w:type="dxa"/>
            <w:shd w:val="clear" w:color="auto" w:fill="2E4B8F"/>
          </w:tcPr>
          <w:p w14:paraId="232261DD" w14:textId="77777777" w:rsidR="006D4392" w:rsidRPr="00AD0FF4" w:rsidRDefault="00683A75" w:rsidP="00AD0FF4">
            <w:pPr>
              <w:spacing w:after="200" w:line="360" w:lineRule="auto"/>
              <w:jc w:val="both"/>
            </w:pPr>
            <w:r w:rsidRPr="00AD0FF4">
              <w:rPr>
                <w:b/>
                <w:bCs/>
                <w:color w:val="FFFFFF"/>
                <w:sz w:val="18"/>
                <w:szCs w:val="18"/>
              </w:rPr>
              <w:t>Level ADF (p-val)</w:t>
            </w:r>
          </w:p>
        </w:tc>
        <w:tc>
          <w:tcPr>
            <w:tcW w:w="1000" w:type="dxa"/>
            <w:shd w:val="clear" w:color="auto" w:fill="2E4B8F"/>
          </w:tcPr>
          <w:p w14:paraId="7911138E" w14:textId="77777777" w:rsidR="006D4392" w:rsidRPr="00AD0FF4" w:rsidRDefault="00683A75" w:rsidP="00AD0FF4">
            <w:pPr>
              <w:spacing w:after="200" w:line="360" w:lineRule="auto"/>
              <w:jc w:val="both"/>
            </w:pPr>
            <w:r w:rsidRPr="00AD0FF4">
              <w:rPr>
                <w:b/>
                <w:bCs/>
                <w:color w:val="FFFFFF"/>
                <w:sz w:val="18"/>
                <w:szCs w:val="18"/>
              </w:rPr>
              <w:t>Order</w:t>
            </w:r>
          </w:p>
        </w:tc>
        <w:tc>
          <w:tcPr>
            <w:tcW w:w="2000" w:type="dxa"/>
            <w:shd w:val="clear" w:color="auto" w:fill="2E4B8F"/>
          </w:tcPr>
          <w:p w14:paraId="1F28183D" w14:textId="77777777" w:rsidR="006D4392" w:rsidRPr="00AD0FF4" w:rsidRDefault="00683A75" w:rsidP="00AD0FF4">
            <w:pPr>
              <w:spacing w:after="200" w:line="360" w:lineRule="auto"/>
              <w:jc w:val="both"/>
            </w:pPr>
            <w:r w:rsidRPr="00AD0FF4">
              <w:rPr>
                <w:b/>
                <w:bCs/>
                <w:color w:val="FFFFFF"/>
                <w:sz w:val="18"/>
                <w:szCs w:val="18"/>
              </w:rPr>
              <w:t>1st Diff ADF (p-val)</w:t>
            </w:r>
          </w:p>
        </w:tc>
        <w:tc>
          <w:tcPr>
            <w:tcW w:w="2560" w:type="dxa"/>
            <w:shd w:val="clear" w:color="auto" w:fill="2E4B8F"/>
          </w:tcPr>
          <w:p w14:paraId="60369421" w14:textId="77777777" w:rsidR="006D4392" w:rsidRPr="00AD0FF4" w:rsidRDefault="00683A75" w:rsidP="00AD0FF4">
            <w:pPr>
              <w:spacing w:after="200" w:line="360" w:lineRule="auto"/>
              <w:jc w:val="both"/>
            </w:pPr>
            <w:r w:rsidRPr="00AD0FF4">
              <w:rPr>
                <w:b/>
                <w:bCs/>
                <w:color w:val="FFFFFF"/>
                <w:sz w:val="18"/>
                <w:szCs w:val="18"/>
              </w:rPr>
              <w:t>Conclusion</w:t>
            </w:r>
          </w:p>
        </w:tc>
      </w:tr>
      <w:tr w:rsidR="006D4392" w:rsidRPr="00AD0FF4" w14:paraId="18E9CA3E" w14:textId="77777777">
        <w:tc>
          <w:tcPr>
            <w:tcW w:w="2000" w:type="dxa"/>
            <w:shd w:val="clear" w:color="auto" w:fill="F5F5F5"/>
          </w:tcPr>
          <w:p w14:paraId="5AD47C4B" w14:textId="77777777" w:rsidR="006D4392" w:rsidRPr="00AD0FF4" w:rsidRDefault="00683A75" w:rsidP="00AD0FF4">
            <w:pPr>
              <w:spacing w:after="200" w:line="360" w:lineRule="auto"/>
              <w:jc w:val="both"/>
            </w:pPr>
            <w:r w:rsidRPr="00AD0FF4">
              <w:rPr>
                <w:sz w:val="18"/>
                <w:szCs w:val="18"/>
              </w:rPr>
              <w:t>ln(pcCA)</w:t>
            </w:r>
          </w:p>
        </w:tc>
        <w:tc>
          <w:tcPr>
            <w:tcW w:w="1800" w:type="dxa"/>
            <w:shd w:val="clear" w:color="auto" w:fill="F5F5F5"/>
          </w:tcPr>
          <w:p w14:paraId="24B12DF4" w14:textId="77777777" w:rsidR="006D4392" w:rsidRPr="00AD0FF4" w:rsidRDefault="00683A75" w:rsidP="00AD0FF4">
            <w:pPr>
              <w:spacing w:after="200" w:line="360" w:lineRule="auto"/>
              <w:jc w:val="both"/>
            </w:pPr>
            <w:r w:rsidRPr="00AD0FF4">
              <w:rPr>
                <w:sz w:val="18"/>
                <w:szCs w:val="18"/>
              </w:rPr>
              <w:t>0.003</w:t>
            </w:r>
          </w:p>
        </w:tc>
        <w:tc>
          <w:tcPr>
            <w:tcW w:w="1000" w:type="dxa"/>
            <w:shd w:val="clear" w:color="auto" w:fill="F5F5F5"/>
          </w:tcPr>
          <w:p w14:paraId="3C3CA1EA" w14:textId="77777777" w:rsidR="006D4392" w:rsidRPr="00AD0FF4" w:rsidRDefault="00683A75" w:rsidP="00AD0FF4">
            <w:pPr>
              <w:spacing w:after="200" w:line="360" w:lineRule="auto"/>
              <w:jc w:val="both"/>
            </w:pPr>
            <w:r w:rsidRPr="00AD0FF4">
              <w:rPr>
                <w:sz w:val="18"/>
                <w:szCs w:val="18"/>
              </w:rPr>
              <w:t>I(0)</w:t>
            </w:r>
          </w:p>
        </w:tc>
        <w:tc>
          <w:tcPr>
            <w:tcW w:w="2000" w:type="dxa"/>
            <w:shd w:val="clear" w:color="auto" w:fill="F5F5F5"/>
          </w:tcPr>
          <w:p w14:paraId="7D1C514A" w14:textId="77777777" w:rsidR="006D4392" w:rsidRPr="00AD0FF4" w:rsidRDefault="00683A75" w:rsidP="00AD0FF4">
            <w:pPr>
              <w:spacing w:after="200" w:line="360" w:lineRule="auto"/>
              <w:jc w:val="both"/>
            </w:pPr>
            <w:r w:rsidRPr="00AD0FF4">
              <w:rPr>
                <w:sz w:val="18"/>
                <w:szCs w:val="18"/>
              </w:rPr>
              <w:t>0.000</w:t>
            </w:r>
          </w:p>
        </w:tc>
        <w:tc>
          <w:tcPr>
            <w:tcW w:w="2560" w:type="dxa"/>
            <w:shd w:val="clear" w:color="auto" w:fill="F5F5F5"/>
          </w:tcPr>
          <w:p w14:paraId="4267886E" w14:textId="77777777" w:rsidR="006D4392" w:rsidRPr="00AD0FF4" w:rsidRDefault="00683A75" w:rsidP="00AD0FF4">
            <w:pPr>
              <w:spacing w:after="200" w:line="360" w:lineRule="auto"/>
              <w:jc w:val="both"/>
            </w:pPr>
            <w:r w:rsidRPr="00AD0FF4">
              <w:rPr>
                <w:sz w:val="18"/>
                <w:szCs w:val="18"/>
              </w:rPr>
              <w:t>Stationary in levels</w:t>
            </w:r>
          </w:p>
        </w:tc>
      </w:tr>
      <w:tr w:rsidR="006D4392" w:rsidRPr="00AD0FF4" w14:paraId="4BD2BAE8" w14:textId="77777777">
        <w:tc>
          <w:tcPr>
            <w:tcW w:w="2000" w:type="dxa"/>
          </w:tcPr>
          <w:p w14:paraId="5C005DAD" w14:textId="77777777" w:rsidR="006D4392" w:rsidRPr="00AD0FF4" w:rsidRDefault="00683A75" w:rsidP="00AD0FF4">
            <w:pPr>
              <w:spacing w:after="200" w:line="360" w:lineRule="auto"/>
              <w:jc w:val="both"/>
            </w:pPr>
            <w:r w:rsidRPr="00AD0FF4">
              <w:rPr>
                <w:sz w:val="18"/>
                <w:szCs w:val="18"/>
              </w:rPr>
              <w:t>ln(pcGDP)</w:t>
            </w:r>
          </w:p>
        </w:tc>
        <w:tc>
          <w:tcPr>
            <w:tcW w:w="1800" w:type="dxa"/>
          </w:tcPr>
          <w:p w14:paraId="151695AF" w14:textId="77777777" w:rsidR="006D4392" w:rsidRPr="00AD0FF4" w:rsidRDefault="00683A75" w:rsidP="00AD0FF4">
            <w:pPr>
              <w:spacing w:after="200" w:line="360" w:lineRule="auto"/>
              <w:jc w:val="both"/>
            </w:pPr>
            <w:r w:rsidRPr="00AD0FF4">
              <w:rPr>
                <w:sz w:val="18"/>
                <w:szCs w:val="18"/>
              </w:rPr>
              <w:t>0.005</w:t>
            </w:r>
          </w:p>
        </w:tc>
        <w:tc>
          <w:tcPr>
            <w:tcW w:w="1000" w:type="dxa"/>
          </w:tcPr>
          <w:p w14:paraId="1E791A44" w14:textId="77777777" w:rsidR="006D4392" w:rsidRPr="00AD0FF4" w:rsidRDefault="00683A75" w:rsidP="00AD0FF4">
            <w:pPr>
              <w:spacing w:after="200" w:line="360" w:lineRule="auto"/>
              <w:jc w:val="both"/>
            </w:pPr>
            <w:r w:rsidRPr="00AD0FF4">
              <w:rPr>
                <w:sz w:val="18"/>
                <w:szCs w:val="18"/>
              </w:rPr>
              <w:t>I(0)</w:t>
            </w:r>
          </w:p>
        </w:tc>
        <w:tc>
          <w:tcPr>
            <w:tcW w:w="2000" w:type="dxa"/>
          </w:tcPr>
          <w:p w14:paraId="26F16551" w14:textId="77777777" w:rsidR="006D4392" w:rsidRPr="00AD0FF4" w:rsidRDefault="00683A75" w:rsidP="00AD0FF4">
            <w:pPr>
              <w:spacing w:after="200" w:line="360" w:lineRule="auto"/>
              <w:jc w:val="both"/>
            </w:pPr>
            <w:r w:rsidRPr="00AD0FF4">
              <w:rPr>
                <w:sz w:val="18"/>
                <w:szCs w:val="18"/>
              </w:rPr>
              <w:t>0.000</w:t>
            </w:r>
          </w:p>
        </w:tc>
        <w:tc>
          <w:tcPr>
            <w:tcW w:w="2560" w:type="dxa"/>
          </w:tcPr>
          <w:p w14:paraId="15C89A43" w14:textId="77777777" w:rsidR="006D4392" w:rsidRPr="00AD0FF4" w:rsidRDefault="00683A75" w:rsidP="00AD0FF4">
            <w:pPr>
              <w:spacing w:after="200" w:line="360" w:lineRule="auto"/>
              <w:jc w:val="both"/>
            </w:pPr>
            <w:r w:rsidRPr="00AD0FF4">
              <w:rPr>
                <w:sz w:val="18"/>
                <w:szCs w:val="18"/>
              </w:rPr>
              <w:t>Stationary in levels</w:t>
            </w:r>
          </w:p>
        </w:tc>
      </w:tr>
      <w:tr w:rsidR="006D4392" w:rsidRPr="00AD0FF4" w14:paraId="3F66D49C" w14:textId="77777777">
        <w:tc>
          <w:tcPr>
            <w:tcW w:w="2000" w:type="dxa"/>
            <w:shd w:val="clear" w:color="auto" w:fill="F5F5F5"/>
          </w:tcPr>
          <w:p w14:paraId="6E592374" w14:textId="77777777" w:rsidR="006D4392" w:rsidRPr="00AD0FF4" w:rsidRDefault="00683A75" w:rsidP="00AD0FF4">
            <w:pPr>
              <w:spacing w:after="200" w:line="360" w:lineRule="auto"/>
              <w:jc w:val="both"/>
            </w:pPr>
            <w:r w:rsidRPr="00AD0FF4">
              <w:rPr>
                <w:sz w:val="18"/>
                <w:szCs w:val="18"/>
              </w:rPr>
              <w:t>ln(Gini_mkt)</w:t>
            </w:r>
          </w:p>
        </w:tc>
        <w:tc>
          <w:tcPr>
            <w:tcW w:w="1800" w:type="dxa"/>
            <w:shd w:val="clear" w:color="auto" w:fill="F5F5F5"/>
          </w:tcPr>
          <w:p w14:paraId="6CB21CCA" w14:textId="77777777" w:rsidR="006D4392" w:rsidRPr="00AD0FF4" w:rsidRDefault="00683A75" w:rsidP="00AD0FF4">
            <w:pPr>
              <w:spacing w:after="200" w:line="360" w:lineRule="auto"/>
              <w:jc w:val="both"/>
            </w:pPr>
            <w:r w:rsidRPr="00AD0FF4">
              <w:rPr>
                <w:sz w:val="18"/>
                <w:szCs w:val="18"/>
              </w:rPr>
              <w:t>0.048</w:t>
            </w:r>
          </w:p>
        </w:tc>
        <w:tc>
          <w:tcPr>
            <w:tcW w:w="1000" w:type="dxa"/>
            <w:shd w:val="clear" w:color="auto" w:fill="F5F5F5"/>
          </w:tcPr>
          <w:p w14:paraId="080750C5" w14:textId="77777777" w:rsidR="006D4392" w:rsidRPr="00AD0FF4" w:rsidRDefault="00683A75" w:rsidP="00AD0FF4">
            <w:pPr>
              <w:spacing w:after="200" w:line="360" w:lineRule="auto"/>
              <w:jc w:val="both"/>
            </w:pPr>
            <w:r w:rsidRPr="00AD0FF4">
              <w:rPr>
                <w:sz w:val="18"/>
                <w:szCs w:val="18"/>
              </w:rPr>
              <w:t>I(0)</w:t>
            </w:r>
          </w:p>
        </w:tc>
        <w:tc>
          <w:tcPr>
            <w:tcW w:w="2000" w:type="dxa"/>
            <w:shd w:val="clear" w:color="auto" w:fill="F5F5F5"/>
          </w:tcPr>
          <w:p w14:paraId="1BB251E3" w14:textId="77777777" w:rsidR="006D4392" w:rsidRPr="00AD0FF4" w:rsidRDefault="00683A75" w:rsidP="00AD0FF4">
            <w:pPr>
              <w:spacing w:after="200" w:line="360" w:lineRule="auto"/>
              <w:jc w:val="both"/>
            </w:pPr>
            <w:r w:rsidRPr="00AD0FF4">
              <w:rPr>
                <w:sz w:val="18"/>
                <w:szCs w:val="18"/>
              </w:rPr>
              <w:t>0.130</w:t>
            </w:r>
          </w:p>
        </w:tc>
        <w:tc>
          <w:tcPr>
            <w:tcW w:w="2560" w:type="dxa"/>
            <w:shd w:val="clear" w:color="auto" w:fill="F5F5F5"/>
          </w:tcPr>
          <w:p w14:paraId="22FC2D69" w14:textId="77777777" w:rsidR="006D4392" w:rsidRPr="00AD0FF4" w:rsidRDefault="00683A75" w:rsidP="00AD0FF4">
            <w:pPr>
              <w:spacing w:after="200" w:line="360" w:lineRule="auto"/>
              <w:jc w:val="both"/>
            </w:pPr>
            <w:r w:rsidRPr="00AD0FF4">
              <w:rPr>
                <w:sz w:val="18"/>
                <w:szCs w:val="18"/>
              </w:rPr>
              <w:t>Stationary in levels</w:t>
            </w:r>
          </w:p>
        </w:tc>
      </w:tr>
      <w:tr w:rsidR="006D4392" w:rsidRPr="00AD0FF4" w14:paraId="3B70E87D" w14:textId="77777777">
        <w:tc>
          <w:tcPr>
            <w:tcW w:w="2000" w:type="dxa"/>
          </w:tcPr>
          <w:p w14:paraId="66F738BD" w14:textId="77777777" w:rsidR="006D4392" w:rsidRPr="00AD0FF4" w:rsidRDefault="00683A75" w:rsidP="00AD0FF4">
            <w:pPr>
              <w:spacing w:after="200" w:line="360" w:lineRule="auto"/>
              <w:jc w:val="both"/>
            </w:pPr>
            <w:r w:rsidRPr="00AD0FF4">
              <w:rPr>
                <w:sz w:val="18"/>
                <w:szCs w:val="18"/>
              </w:rPr>
              <w:lastRenderedPageBreak/>
              <w:t>ln(giniratio)</w:t>
            </w:r>
          </w:p>
        </w:tc>
        <w:tc>
          <w:tcPr>
            <w:tcW w:w="1800" w:type="dxa"/>
          </w:tcPr>
          <w:p w14:paraId="3548A339" w14:textId="77777777" w:rsidR="006D4392" w:rsidRPr="00AD0FF4" w:rsidRDefault="00683A75" w:rsidP="00AD0FF4">
            <w:pPr>
              <w:spacing w:after="200" w:line="360" w:lineRule="auto"/>
              <w:jc w:val="both"/>
            </w:pPr>
            <w:r w:rsidRPr="00AD0FF4">
              <w:rPr>
                <w:sz w:val="18"/>
                <w:szCs w:val="18"/>
              </w:rPr>
              <w:t>0.333</w:t>
            </w:r>
          </w:p>
        </w:tc>
        <w:tc>
          <w:tcPr>
            <w:tcW w:w="1000" w:type="dxa"/>
          </w:tcPr>
          <w:p w14:paraId="3EAA7F26" w14:textId="77777777" w:rsidR="006D4392" w:rsidRPr="00AD0FF4" w:rsidRDefault="00683A75" w:rsidP="00AD0FF4">
            <w:pPr>
              <w:spacing w:after="200" w:line="360" w:lineRule="auto"/>
              <w:jc w:val="both"/>
            </w:pPr>
            <w:r w:rsidRPr="00AD0FF4">
              <w:rPr>
                <w:sz w:val="18"/>
                <w:szCs w:val="18"/>
              </w:rPr>
              <w:t>I(1)</w:t>
            </w:r>
          </w:p>
        </w:tc>
        <w:tc>
          <w:tcPr>
            <w:tcW w:w="2000" w:type="dxa"/>
          </w:tcPr>
          <w:p w14:paraId="2DDCAC8C" w14:textId="77777777" w:rsidR="006D4392" w:rsidRPr="00AD0FF4" w:rsidRDefault="00683A75" w:rsidP="00AD0FF4">
            <w:pPr>
              <w:spacing w:after="200" w:line="360" w:lineRule="auto"/>
              <w:jc w:val="both"/>
            </w:pPr>
            <w:r w:rsidRPr="00AD0FF4">
              <w:rPr>
                <w:sz w:val="18"/>
                <w:szCs w:val="18"/>
              </w:rPr>
              <w:t>0.022</w:t>
            </w:r>
          </w:p>
        </w:tc>
        <w:tc>
          <w:tcPr>
            <w:tcW w:w="2560" w:type="dxa"/>
          </w:tcPr>
          <w:p w14:paraId="05D4453D" w14:textId="77777777" w:rsidR="006D4392" w:rsidRPr="00AD0FF4" w:rsidRDefault="00683A75" w:rsidP="00AD0FF4">
            <w:pPr>
              <w:spacing w:after="200" w:line="360" w:lineRule="auto"/>
              <w:jc w:val="both"/>
            </w:pPr>
            <w:r w:rsidRPr="00AD0FF4">
              <w:rPr>
                <w:sz w:val="18"/>
                <w:szCs w:val="18"/>
              </w:rPr>
              <w:t>I(1): HAC applied</w:t>
            </w:r>
          </w:p>
        </w:tc>
      </w:tr>
      <w:tr w:rsidR="006D4392" w:rsidRPr="00AD0FF4" w14:paraId="04B00010" w14:textId="77777777">
        <w:tc>
          <w:tcPr>
            <w:tcW w:w="2000" w:type="dxa"/>
            <w:shd w:val="clear" w:color="auto" w:fill="F5F5F5"/>
          </w:tcPr>
          <w:p w14:paraId="7593C724" w14:textId="77777777" w:rsidR="006D4392" w:rsidRPr="00AD0FF4" w:rsidRDefault="00683A75" w:rsidP="00AD0FF4">
            <w:pPr>
              <w:spacing w:after="200" w:line="360" w:lineRule="auto"/>
              <w:jc w:val="both"/>
            </w:pPr>
            <w:r w:rsidRPr="00AD0FF4">
              <w:rPr>
                <w:sz w:val="18"/>
                <w:szCs w:val="18"/>
              </w:rPr>
              <w:t>ln(openness)</w:t>
            </w:r>
          </w:p>
        </w:tc>
        <w:tc>
          <w:tcPr>
            <w:tcW w:w="1800" w:type="dxa"/>
            <w:shd w:val="clear" w:color="auto" w:fill="F5F5F5"/>
          </w:tcPr>
          <w:p w14:paraId="414BB813" w14:textId="77777777" w:rsidR="006D4392" w:rsidRPr="00AD0FF4" w:rsidRDefault="00683A75" w:rsidP="00AD0FF4">
            <w:pPr>
              <w:spacing w:after="200" w:line="360" w:lineRule="auto"/>
              <w:jc w:val="both"/>
            </w:pPr>
            <w:r w:rsidRPr="00AD0FF4">
              <w:rPr>
                <w:sz w:val="18"/>
                <w:szCs w:val="18"/>
              </w:rPr>
              <w:t>0.100</w:t>
            </w:r>
          </w:p>
        </w:tc>
        <w:tc>
          <w:tcPr>
            <w:tcW w:w="1000" w:type="dxa"/>
            <w:shd w:val="clear" w:color="auto" w:fill="F5F5F5"/>
          </w:tcPr>
          <w:p w14:paraId="10E17E75" w14:textId="77777777" w:rsidR="006D4392" w:rsidRPr="00AD0FF4" w:rsidRDefault="00683A75" w:rsidP="00AD0FF4">
            <w:pPr>
              <w:spacing w:after="200" w:line="360" w:lineRule="auto"/>
              <w:jc w:val="both"/>
            </w:pPr>
            <w:r w:rsidRPr="00AD0FF4">
              <w:rPr>
                <w:sz w:val="18"/>
                <w:szCs w:val="18"/>
              </w:rPr>
              <w:t>I(1)</w:t>
            </w:r>
          </w:p>
        </w:tc>
        <w:tc>
          <w:tcPr>
            <w:tcW w:w="2000" w:type="dxa"/>
            <w:shd w:val="clear" w:color="auto" w:fill="F5F5F5"/>
          </w:tcPr>
          <w:p w14:paraId="35BD01E8" w14:textId="77777777" w:rsidR="006D4392" w:rsidRPr="00AD0FF4" w:rsidRDefault="00683A75" w:rsidP="00AD0FF4">
            <w:pPr>
              <w:spacing w:after="200" w:line="360" w:lineRule="auto"/>
              <w:jc w:val="both"/>
            </w:pPr>
            <w:r w:rsidRPr="00AD0FF4">
              <w:rPr>
                <w:sz w:val="18"/>
                <w:szCs w:val="18"/>
              </w:rPr>
              <w:t>0.000</w:t>
            </w:r>
          </w:p>
        </w:tc>
        <w:tc>
          <w:tcPr>
            <w:tcW w:w="2560" w:type="dxa"/>
            <w:shd w:val="clear" w:color="auto" w:fill="F5F5F5"/>
          </w:tcPr>
          <w:p w14:paraId="2EFEEBFC" w14:textId="77777777" w:rsidR="006D4392" w:rsidRPr="00AD0FF4" w:rsidRDefault="00683A75" w:rsidP="00AD0FF4">
            <w:pPr>
              <w:spacing w:after="200" w:line="360" w:lineRule="auto"/>
              <w:jc w:val="both"/>
            </w:pPr>
            <w:r w:rsidRPr="00AD0FF4">
              <w:rPr>
                <w:sz w:val="18"/>
                <w:szCs w:val="18"/>
              </w:rPr>
              <w:t>I(1): HAC applied</w:t>
            </w:r>
          </w:p>
        </w:tc>
      </w:tr>
    </w:tbl>
    <w:p w14:paraId="6EFF0D4C" w14:textId="77777777" w:rsidR="006D4392" w:rsidRPr="00AD0FF4" w:rsidRDefault="006D4392" w:rsidP="00AD0FF4">
      <w:pPr>
        <w:spacing w:after="200" w:line="360" w:lineRule="auto"/>
        <w:jc w:val="both"/>
      </w:pPr>
    </w:p>
    <w:p w14:paraId="49AE123F" w14:textId="77777777" w:rsidR="006D4392" w:rsidRPr="00AD0FF4" w:rsidRDefault="00683A75" w:rsidP="00AD0FF4">
      <w:pPr>
        <w:spacing w:after="200" w:line="360" w:lineRule="auto"/>
        <w:jc w:val="both"/>
      </w:pPr>
      <w:r w:rsidRPr="00AD0FF4">
        <w:rPr>
          <w:b/>
          <w:bCs/>
        </w:rPr>
        <w:t>Table A2: Chow Tests for Structural Breaks</w:t>
      </w:r>
    </w:p>
    <w:p w14:paraId="35FEDB9F" w14:textId="77777777" w:rsidR="006D4392" w:rsidRPr="00AD0FF4" w:rsidRDefault="00683A75" w:rsidP="00AD0FF4">
      <w:pPr>
        <w:spacing w:after="200" w:line="360" w:lineRule="auto"/>
        <w:jc w:val="both"/>
      </w:pPr>
      <w:r w:rsidRPr="00AD0FF4">
        <w:rPr>
          <w:i/>
          <w:iCs/>
          <w:sz w:val="20"/>
          <w:szCs w:val="20"/>
        </w:rPr>
        <w:t>Null hypothesis: no structural break at the specified year. GDP equation. k=4 parameters per sub-sample.</w:t>
      </w:r>
    </w:p>
    <w:tbl>
      <w:tblPr>
        <w:tblW w:w="9360" w:type="dxa"/>
        <w:tblBorders>
          <w:top w:val="single" w:sz="4" w:space="0" w:color="auto"/>
          <w:bottom w:val="single" w:sz="4" w:space="0" w:color="auto"/>
          <w:insideH w:val="single" w:sz="4" w:space="0" w:color="auto"/>
        </w:tblBorders>
        <w:tblCellMar>
          <w:left w:w="10" w:type="dxa"/>
          <w:right w:w="10" w:type="dxa"/>
        </w:tblCellMar>
        <w:tblLook w:val="04A0" w:firstRow="1" w:lastRow="0" w:firstColumn="1" w:lastColumn="0" w:noHBand="0" w:noVBand="1"/>
      </w:tblPr>
      <w:tblGrid>
        <w:gridCol w:w="2000"/>
        <w:gridCol w:w="1500"/>
        <w:gridCol w:w="1200"/>
        <w:gridCol w:w="1200"/>
        <w:gridCol w:w="3460"/>
      </w:tblGrid>
      <w:tr w:rsidR="006D4392" w:rsidRPr="00AD0FF4" w14:paraId="76A3FC9E" w14:textId="77777777">
        <w:tc>
          <w:tcPr>
            <w:tcW w:w="2000" w:type="dxa"/>
            <w:shd w:val="clear" w:color="auto" w:fill="2E4B8F"/>
          </w:tcPr>
          <w:p w14:paraId="0D3C2959" w14:textId="77777777" w:rsidR="006D4392" w:rsidRPr="00AD0FF4" w:rsidRDefault="00683A75" w:rsidP="00AD0FF4">
            <w:pPr>
              <w:spacing w:after="200" w:line="360" w:lineRule="auto"/>
              <w:jc w:val="both"/>
            </w:pPr>
            <w:r w:rsidRPr="00AD0FF4">
              <w:rPr>
                <w:b/>
                <w:bCs/>
                <w:color w:val="FFFFFF"/>
                <w:sz w:val="18"/>
                <w:szCs w:val="18"/>
              </w:rPr>
              <w:t>Break</w:t>
            </w:r>
          </w:p>
        </w:tc>
        <w:tc>
          <w:tcPr>
            <w:tcW w:w="1500" w:type="dxa"/>
            <w:shd w:val="clear" w:color="auto" w:fill="2E4B8F"/>
          </w:tcPr>
          <w:p w14:paraId="580AF2DA" w14:textId="77777777" w:rsidR="006D4392" w:rsidRPr="00AD0FF4" w:rsidRDefault="00683A75" w:rsidP="00AD0FF4">
            <w:pPr>
              <w:spacing w:after="200" w:line="360" w:lineRule="auto"/>
              <w:jc w:val="both"/>
            </w:pPr>
            <w:r w:rsidRPr="00AD0FF4">
              <w:rPr>
                <w:b/>
                <w:bCs/>
                <w:color w:val="FFFFFF"/>
                <w:sz w:val="18"/>
                <w:szCs w:val="18"/>
              </w:rPr>
              <w:t>F-statistic</w:t>
            </w:r>
          </w:p>
        </w:tc>
        <w:tc>
          <w:tcPr>
            <w:tcW w:w="1200" w:type="dxa"/>
            <w:shd w:val="clear" w:color="auto" w:fill="2E4B8F"/>
          </w:tcPr>
          <w:p w14:paraId="371385E3" w14:textId="77777777" w:rsidR="006D4392" w:rsidRPr="00AD0FF4" w:rsidRDefault="00683A75" w:rsidP="00AD0FF4">
            <w:pPr>
              <w:spacing w:after="200" w:line="360" w:lineRule="auto"/>
              <w:jc w:val="both"/>
            </w:pPr>
            <w:r w:rsidRPr="00AD0FF4">
              <w:rPr>
                <w:b/>
                <w:bCs/>
                <w:color w:val="FFFFFF"/>
                <w:sz w:val="18"/>
                <w:szCs w:val="18"/>
              </w:rPr>
              <w:t>p-value</w:t>
            </w:r>
          </w:p>
        </w:tc>
        <w:tc>
          <w:tcPr>
            <w:tcW w:w="1200" w:type="dxa"/>
            <w:shd w:val="clear" w:color="auto" w:fill="2E4B8F"/>
          </w:tcPr>
          <w:p w14:paraId="03043680" w14:textId="77777777" w:rsidR="006D4392" w:rsidRPr="00AD0FF4" w:rsidRDefault="00683A75" w:rsidP="00AD0FF4">
            <w:pPr>
              <w:spacing w:after="200" w:line="360" w:lineRule="auto"/>
              <w:jc w:val="both"/>
            </w:pPr>
            <w:r w:rsidRPr="00AD0FF4">
              <w:rPr>
                <w:b/>
                <w:bCs/>
                <w:color w:val="FFFFFF"/>
                <w:sz w:val="18"/>
                <w:szCs w:val="18"/>
              </w:rPr>
              <w:t>Significance</w:t>
            </w:r>
          </w:p>
        </w:tc>
        <w:tc>
          <w:tcPr>
            <w:tcW w:w="3460" w:type="dxa"/>
            <w:shd w:val="clear" w:color="auto" w:fill="2E4B8F"/>
          </w:tcPr>
          <w:p w14:paraId="53AB8897" w14:textId="77777777" w:rsidR="006D4392" w:rsidRPr="00AD0FF4" w:rsidRDefault="00683A75" w:rsidP="00AD0FF4">
            <w:pPr>
              <w:spacing w:after="200" w:line="360" w:lineRule="auto"/>
              <w:jc w:val="both"/>
            </w:pPr>
            <w:r w:rsidRPr="00AD0FF4">
              <w:rPr>
                <w:b/>
                <w:bCs/>
                <w:color w:val="FFFFFF"/>
                <w:sz w:val="18"/>
                <w:szCs w:val="18"/>
              </w:rPr>
              <w:t>Interpretation</w:t>
            </w:r>
          </w:p>
        </w:tc>
      </w:tr>
      <w:tr w:rsidR="006D4392" w:rsidRPr="00AD0FF4" w14:paraId="3BCD94B8" w14:textId="77777777">
        <w:tc>
          <w:tcPr>
            <w:tcW w:w="2000" w:type="dxa"/>
            <w:shd w:val="clear" w:color="auto" w:fill="F5F5F5"/>
          </w:tcPr>
          <w:p w14:paraId="0C1F4298" w14:textId="77777777" w:rsidR="006D4392" w:rsidRPr="00AD0FF4" w:rsidRDefault="00683A75" w:rsidP="00AD0FF4">
            <w:pPr>
              <w:spacing w:after="200" w:line="360" w:lineRule="auto"/>
              <w:jc w:val="both"/>
            </w:pPr>
            <w:r w:rsidRPr="00AD0FF4">
              <w:rPr>
                <w:sz w:val="18"/>
                <w:szCs w:val="18"/>
              </w:rPr>
              <w:t>D1992 (Ph1→Ph2)</w:t>
            </w:r>
          </w:p>
        </w:tc>
        <w:tc>
          <w:tcPr>
            <w:tcW w:w="1500" w:type="dxa"/>
            <w:shd w:val="clear" w:color="auto" w:fill="F5F5F5"/>
          </w:tcPr>
          <w:p w14:paraId="264A8B2D" w14:textId="77777777" w:rsidR="006D4392" w:rsidRPr="00AD0FF4" w:rsidRDefault="00683A75" w:rsidP="00AD0FF4">
            <w:pPr>
              <w:spacing w:after="200" w:line="360" w:lineRule="auto"/>
              <w:jc w:val="both"/>
            </w:pPr>
            <w:r w:rsidRPr="00AD0FF4">
              <w:rPr>
                <w:sz w:val="18"/>
                <w:szCs w:val="18"/>
              </w:rPr>
              <w:t>10.617</w:t>
            </w:r>
          </w:p>
        </w:tc>
        <w:tc>
          <w:tcPr>
            <w:tcW w:w="1200" w:type="dxa"/>
            <w:shd w:val="clear" w:color="auto" w:fill="F5F5F5"/>
          </w:tcPr>
          <w:p w14:paraId="14C9FB8B" w14:textId="77777777" w:rsidR="006D4392" w:rsidRPr="00AD0FF4" w:rsidRDefault="00683A75" w:rsidP="00AD0FF4">
            <w:pPr>
              <w:spacing w:after="200" w:line="360" w:lineRule="auto"/>
              <w:jc w:val="both"/>
            </w:pPr>
            <w:r w:rsidRPr="00AD0FF4">
              <w:rPr>
                <w:sz w:val="18"/>
                <w:szCs w:val="18"/>
              </w:rPr>
              <w:t>0.000</w:t>
            </w:r>
          </w:p>
        </w:tc>
        <w:tc>
          <w:tcPr>
            <w:tcW w:w="1200" w:type="dxa"/>
            <w:shd w:val="clear" w:color="auto" w:fill="F5F5F5"/>
          </w:tcPr>
          <w:p w14:paraId="23C3ADD5" w14:textId="77777777" w:rsidR="006D4392" w:rsidRPr="00AD0FF4" w:rsidRDefault="00683A75" w:rsidP="00AD0FF4">
            <w:pPr>
              <w:spacing w:after="200" w:line="360" w:lineRule="auto"/>
              <w:jc w:val="both"/>
            </w:pPr>
            <w:r w:rsidRPr="00AD0FF4">
              <w:rPr>
                <w:sz w:val="18"/>
                <w:szCs w:val="18"/>
              </w:rPr>
              <w:t>***</w:t>
            </w:r>
          </w:p>
        </w:tc>
        <w:tc>
          <w:tcPr>
            <w:tcW w:w="3460" w:type="dxa"/>
            <w:shd w:val="clear" w:color="auto" w:fill="F5F5F5"/>
          </w:tcPr>
          <w:p w14:paraId="24F08FE9" w14:textId="77777777" w:rsidR="006D4392" w:rsidRPr="00AD0FF4" w:rsidRDefault="00683A75" w:rsidP="00AD0FF4">
            <w:pPr>
              <w:spacing w:after="200" w:line="360" w:lineRule="auto"/>
              <w:jc w:val="both"/>
            </w:pPr>
            <w:r w:rsidRPr="00AD0FF4">
              <w:rPr>
                <w:sz w:val="18"/>
                <w:szCs w:val="18"/>
              </w:rPr>
              <w:t>Confirmed: Lost Decades onset</w:t>
            </w:r>
          </w:p>
        </w:tc>
      </w:tr>
      <w:tr w:rsidR="006D4392" w:rsidRPr="00AD0FF4" w14:paraId="35CE6BB1" w14:textId="77777777">
        <w:tc>
          <w:tcPr>
            <w:tcW w:w="2000" w:type="dxa"/>
          </w:tcPr>
          <w:p w14:paraId="58CF1DBA" w14:textId="77777777" w:rsidR="006D4392" w:rsidRPr="00AD0FF4" w:rsidRDefault="00683A75" w:rsidP="00AD0FF4">
            <w:pPr>
              <w:spacing w:after="200" w:line="360" w:lineRule="auto"/>
              <w:jc w:val="both"/>
            </w:pPr>
            <w:r w:rsidRPr="00AD0FF4">
              <w:rPr>
                <w:sz w:val="18"/>
                <w:szCs w:val="18"/>
              </w:rPr>
              <w:t>D2013 (Ph2→Ph3)</w:t>
            </w:r>
          </w:p>
        </w:tc>
        <w:tc>
          <w:tcPr>
            <w:tcW w:w="1500" w:type="dxa"/>
          </w:tcPr>
          <w:p w14:paraId="1CB43BF8" w14:textId="77777777" w:rsidR="006D4392" w:rsidRPr="00AD0FF4" w:rsidRDefault="00683A75" w:rsidP="00AD0FF4">
            <w:pPr>
              <w:spacing w:after="200" w:line="360" w:lineRule="auto"/>
              <w:jc w:val="both"/>
            </w:pPr>
            <w:r w:rsidRPr="00AD0FF4">
              <w:rPr>
                <w:sz w:val="18"/>
                <w:szCs w:val="18"/>
              </w:rPr>
              <w:t>2.391</w:t>
            </w:r>
          </w:p>
        </w:tc>
        <w:tc>
          <w:tcPr>
            <w:tcW w:w="1200" w:type="dxa"/>
          </w:tcPr>
          <w:p w14:paraId="496D52F0" w14:textId="77777777" w:rsidR="006D4392" w:rsidRPr="00AD0FF4" w:rsidRDefault="00683A75" w:rsidP="00AD0FF4">
            <w:pPr>
              <w:spacing w:after="200" w:line="360" w:lineRule="auto"/>
              <w:jc w:val="both"/>
            </w:pPr>
            <w:r w:rsidRPr="00AD0FF4">
              <w:rPr>
                <w:sz w:val="18"/>
                <w:szCs w:val="18"/>
              </w:rPr>
              <w:t>0.077</w:t>
            </w:r>
          </w:p>
        </w:tc>
        <w:tc>
          <w:tcPr>
            <w:tcW w:w="1200" w:type="dxa"/>
          </w:tcPr>
          <w:p w14:paraId="0213A3B9" w14:textId="77777777" w:rsidR="006D4392" w:rsidRPr="00AD0FF4" w:rsidRDefault="00683A75" w:rsidP="00AD0FF4">
            <w:pPr>
              <w:spacing w:after="200" w:line="360" w:lineRule="auto"/>
              <w:jc w:val="both"/>
            </w:pPr>
            <w:r w:rsidRPr="00AD0FF4">
              <w:rPr>
                <w:sz w:val="18"/>
                <w:szCs w:val="18"/>
              </w:rPr>
              <w:t>*</w:t>
            </w:r>
          </w:p>
        </w:tc>
        <w:tc>
          <w:tcPr>
            <w:tcW w:w="3460" w:type="dxa"/>
          </w:tcPr>
          <w:p w14:paraId="467C9E37" w14:textId="77777777" w:rsidR="006D4392" w:rsidRPr="00AD0FF4" w:rsidRDefault="00683A75" w:rsidP="00AD0FF4">
            <w:pPr>
              <w:spacing w:after="200" w:line="360" w:lineRule="auto"/>
              <w:jc w:val="both"/>
            </w:pPr>
            <w:r w:rsidRPr="00AD0FF4">
              <w:rPr>
                <w:sz w:val="18"/>
                <w:szCs w:val="18"/>
              </w:rPr>
              <w:t>Confirmed: Abenomics onset</w:t>
            </w:r>
          </w:p>
        </w:tc>
      </w:tr>
    </w:tbl>
    <w:p w14:paraId="4B062943" w14:textId="77777777" w:rsidR="006D4392" w:rsidRPr="00AD0FF4" w:rsidRDefault="006D4392" w:rsidP="00AD0FF4">
      <w:pPr>
        <w:spacing w:after="200" w:line="360" w:lineRule="auto"/>
        <w:jc w:val="both"/>
      </w:pPr>
    </w:p>
    <w:p w14:paraId="4669BF83" w14:textId="77777777" w:rsidR="006D4392" w:rsidRPr="00AD0FF4" w:rsidRDefault="00683A75" w:rsidP="00AD0FF4">
      <w:pPr>
        <w:spacing w:after="200" w:line="360" w:lineRule="auto"/>
        <w:jc w:val="both"/>
      </w:pPr>
      <w:r w:rsidRPr="00AD0FF4">
        <w:rPr>
          <w:b/>
          <w:bCs/>
        </w:rPr>
        <w:t>Table A3: Serial Correlation and Heteroskedasticity</w:t>
      </w:r>
    </w:p>
    <w:p w14:paraId="61E4EC10" w14:textId="77777777" w:rsidR="006D4392" w:rsidRPr="00AD0FF4" w:rsidRDefault="00683A75" w:rsidP="00AD0FF4">
      <w:pPr>
        <w:spacing w:after="200" w:line="360" w:lineRule="auto"/>
        <w:jc w:val="both"/>
      </w:pPr>
      <w:r w:rsidRPr="00AD0FF4">
        <w:rPr>
          <w:i/>
          <w:iCs/>
          <w:sz w:val="20"/>
          <w:szCs w:val="20"/>
        </w:rPr>
        <w:t>Durbin-Watson test on three-regime OLS residuals. White (1980) heteroskedasticity test. *** p&lt;0.01, ** p&lt;0.05, * p&lt;0.10.</w:t>
      </w:r>
    </w:p>
    <w:tbl>
      <w:tblPr>
        <w:tblW w:w="9360" w:type="dxa"/>
        <w:tblBorders>
          <w:top w:val="single" w:sz="4" w:space="0" w:color="auto"/>
          <w:bottom w:val="single" w:sz="4" w:space="0" w:color="auto"/>
          <w:insideH w:val="single" w:sz="4" w:space="0" w:color="auto"/>
        </w:tblBorders>
        <w:tblCellMar>
          <w:left w:w="10" w:type="dxa"/>
          <w:right w:w="10" w:type="dxa"/>
        </w:tblCellMar>
        <w:tblLook w:val="04A0" w:firstRow="1" w:lastRow="0" w:firstColumn="1" w:lastColumn="0" w:noHBand="0" w:noVBand="1"/>
      </w:tblPr>
      <w:tblGrid>
        <w:gridCol w:w="2200"/>
        <w:gridCol w:w="1800"/>
        <w:gridCol w:w="1800"/>
        <w:gridCol w:w="3560"/>
      </w:tblGrid>
      <w:tr w:rsidR="006D4392" w:rsidRPr="00AD0FF4" w14:paraId="270E39D1" w14:textId="77777777">
        <w:tc>
          <w:tcPr>
            <w:tcW w:w="2200" w:type="dxa"/>
            <w:shd w:val="clear" w:color="auto" w:fill="2E4B8F"/>
          </w:tcPr>
          <w:p w14:paraId="26411C19" w14:textId="77777777" w:rsidR="006D4392" w:rsidRPr="00AD0FF4" w:rsidRDefault="00683A75" w:rsidP="00AD0FF4">
            <w:pPr>
              <w:spacing w:after="200" w:line="360" w:lineRule="auto"/>
              <w:jc w:val="both"/>
            </w:pPr>
            <w:r w:rsidRPr="00AD0FF4">
              <w:rPr>
                <w:b/>
                <w:bCs/>
                <w:color w:val="FFFFFF"/>
                <w:sz w:val="18"/>
                <w:szCs w:val="18"/>
              </w:rPr>
              <w:t>Test</w:t>
            </w:r>
          </w:p>
        </w:tc>
        <w:tc>
          <w:tcPr>
            <w:tcW w:w="1800" w:type="dxa"/>
            <w:shd w:val="clear" w:color="auto" w:fill="2E4B8F"/>
          </w:tcPr>
          <w:p w14:paraId="2ADFAF58" w14:textId="77777777" w:rsidR="006D4392" w:rsidRPr="00AD0FF4" w:rsidRDefault="00683A75" w:rsidP="00AD0FF4">
            <w:pPr>
              <w:spacing w:after="200" w:line="360" w:lineRule="auto"/>
              <w:jc w:val="both"/>
            </w:pPr>
            <w:r w:rsidRPr="00AD0FF4">
              <w:rPr>
                <w:b/>
                <w:bCs/>
                <w:color w:val="FFFFFF"/>
                <w:sz w:val="18"/>
                <w:szCs w:val="18"/>
              </w:rPr>
              <w:t>GDP Equation</w:t>
            </w:r>
          </w:p>
        </w:tc>
        <w:tc>
          <w:tcPr>
            <w:tcW w:w="1800" w:type="dxa"/>
            <w:shd w:val="clear" w:color="auto" w:fill="2E4B8F"/>
          </w:tcPr>
          <w:p w14:paraId="625688A6" w14:textId="77777777" w:rsidR="006D4392" w:rsidRPr="00AD0FF4" w:rsidRDefault="00683A75" w:rsidP="00AD0FF4">
            <w:pPr>
              <w:spacing w:after="200" w:line="360" w:lineRule="auto"/>
              <w:jc w:val="both"/>
            </w:pPr>
            <w:r w:rsidRPr="00AD0FF4">
              <w:rPr>
                <w:b/>
                <w:bCs/>
                <w:color w:val="FFFFFF"/>
                <w:sz w:val="18"/>
                <w:szCs w:val="18"/>
              </w:rPr>
              <w:t>Gini Equation</w:t>
            </w:r>
          </w:p>
        </w:tc>
        <w:tc>
          <w:tcPr>
            <w:tcW w:w="3560" w:type="dxa"/>
            <w:shd w:val="clear" w:color="auto" w:fill="2E4B8F"/>
          </w:tcPr>
          <w:p w14:paraId="2CC545A9" w14:textId="77777777" w:rsidR="006D4392" w:rsidRPr="00AD0FF4" w:rsidRDefault="00683A75" w:rsidP="00AD0FF4">
            <w:pPr>
              <w:spacing w:after="200" w:line="360" w:lineRule="auto"/>
              <w:jc w:val="both"/>
            </w:pPr>
            <w:r w:rsidRPr="00AD0FF4">
              <w:rPr>
                <w:b/>
                <w:bCs/>
                <w:color w:val="FFFFFF"/>
                <w:sz w:val="18"/>
                <w:szCs w:val="18"/>
              </w:rPr>
              <w:t>Action taken</w:t>
            </w:r>
          </w:p>
        </w:tc>
      </w:tr>
      <w:tr w:rsidR="006D4392" w:rsidRPr="00AD0FF4" w14:paraId="54763712" w14:textId="77777777">
        <w:tc>
          <w:tcPr>
            <w:tcW w:w="2200" w:type="dxa"/>
            <w:shd w:val="clear" w:color="auto" w:fill="F5F5F5"/>
          </w:tcPr>
          <w:p w14:paraId="67CCBD19" w14:textId="77777777" w:rsidR="006D4392" w:rsidRPr="00AD0FF4" w:rsidRDefault="00683A75" w:rsidP="00AD0FF4">
            <w:pPr>
              <w:spacing w:after="200" w:line="360" w:lineRule="auto"/>
              <w:jc w:val="both"/>
            </w:pPr>
            <w:r w:rsidRPr="00AD0FF4">
              <w:rPr>
                <w:sz w:val="18"/>
                <w:szCs w:val="18"/>
              </w:rPr>
              <w:t>Durbin-Watson</w:t>
            </w:r>
          </w:p>
        </w:tc>
        <w:tc>
          <w:tcPr>
            <w:tcW w:w="1800" w:type="dxa"/>
            <w:shd w:val="clear" w:color="auto" w:fill="F5F5F5"/>
          </w:tcPr>
          <w:p w14:paraId="347F4E6F" w14:textId="77777777" w:rsidR="006D4392" w:rsidRPr="00AD0FF4" w:rsidRDefault="00683A75" w:rsidP="00AD0FF4">
            <w:pPr>
              <w:spacing w:after="200" w:line="360" w:lineRule="auto"/>
              <w:jc w:val="both"/>
            </w:pPr>
            <w:r w:rsidRPr="00AD0FF4">
              <w:rPr>
                <w:sz w:val="18"/>
                <w:szCs w:val="18"/>
              </w:rPr>
              <w:t>1.081</w:t>
            </w:r>
          </w:p>
        </w:tc>
        <w:tc>
          <w:tcPr>
            <w:tcW w:w="1800" w:type="dxa"/>
            <w:shd w:val="clear" w:color="auto" w:fill="F5F5F5"/>
          </w:tcPr>
          <w:p w14:paraId="12F0D6D0" w14:textId="77777777" w:rsidR="006D4392" w:rsidRPr="00AD0FF4" w:rsidRDefault="00683A75" w:rsidP="00AD0FF4">
            <w:pPr>
              <w:spacing w:after="200" w:line="360" w:lineRule="auto"/>
              <w:jc w:val="both"/>
            </w:pPr>
            <w:r w:rsidRPr="00AD0FF4">
              <w:rPr>
                <w:sz w:val="18"/>
                <w:szCs w:val="18"/>
              </w:rPr>
              <w:t>1.322</w:t>
            </w:r>
          </w:p>
        </w:tc>
        <w:tc>
          <w:tcPr>
            <w:tcW w:w="3560" w:type="dxa"/>
            <w:shd w:val="clear" w:color="auto" w:fill="F5F5F5"/>
          </w:tcPr>
          <w:p w14:paraId="3C6D9EE9" w14:textId="77777777" w:rsidR="006D4392" w:rsidRPr="00AD0FF4" w:rsidRDefault="00683A75" w:rsidP="00AD0FF4">
            <w:pPr>
              <w:spacing w:after="200" w:line="360" w:lineRule="auto"/>
              <w:jc w:val="both"/>
            </w:pPr>
            <w:r w:rsidRPr="00AD0FF4">
              <w:rPr>
                <w:sz w:val="18"/>
                <w:szCs w:val="18"/>
              </w:rPr>
              <w:t>HAC SE (Newey-West, maxlags=3)</w:t>
            </w:r>
          </w:p>
        </w:tc>
      </w:tr>
      <w:tr w:rsidR="006D4392" w:rsidRPr="00AD0FF4" w14:paraId="35584216" w14:textId="77777777">
        <w:tc>
          <w:tcPr>
            <w:tcW w:w="2200" w:type="dxa"/>
          </w:tcPr>
          <w:p w14:paraId="562B92FE" w14:textId="77777777" w:rsidR="006D4392" w:rsidRPr="00AD0FF4" w:rsidRDefault="00683A75" w:rsidP="00AD0FF4">
            <w:pPr>
              <w:spacing w:after="200" w:line="360" w:lineRule="auto"/>
              <w:jc w:val="both"/>
            </w:pPr>
            <w:r w:rsidRPr="00AD0FF4">
              <w:rPr>
                <w:sz w:val="18"/>
                <w:szCs w:val="18"/>
              </w:rPr>
              <w:t>White test (LM)</w:t>
            </w:r>
          </w:p>
        </w:tc>
        <w:tc>
          <w:tcPr>
            <w:tcW w:w="1800" w:type="dxa"/>
          </w:tcPr>
          <w:p w14:paraId="60B2F1DD" w14:textId="77777777" w:rsidR="006D4392" w:rsidRPr="00AD0FF4" w:rsidRDefault="00683A75" w:rsidP="00AD0FF4">
            <w:pPr>
              <w:spacing w:after="200" w:line="360" w:lineRule="auto"/>
              <w:jc w:val="both"/>
            </w:pPr>
            <w:r w:rsidRPr="00AD0FF4">
              <w:rPr>
                <w:sz w:val="18"/>
                <w:szCs w:val="18"/>
              </w:rPr>
              <w:t>p = 0.622</w:t>
            </w:r>
          </w:p>
        </w:tc>
        <w:tc>
          <w:tcPr>
            <w:tcW w:w="1800" w:type="dxa"/>
          </w:tcPr>
          <w:p w14:paraId="4BF59216" w14:textId="77777777" w:rsidR="006D4392" w:rsidRPr="00AD0FF4" w:rsidRDefault="00683A75" w:rsidP="00AD0FF4">
            <w:pPr>
              <w:spacing w:after="200" w:line="360" w:lineRule="auto"/>
              <w:jc w:val="both"/>
            </w:pPr>
            <w:r w:rsidRPr="00AD0FF4">
              <w:rPr>
                <w:sz w:val="18"/>
                <w:szCs w:val="18"/>
              </w:rPr>
              <w:t>p = 0.355</w:t>
            </w:r>
          </w:p>
        </w:tc>
        <w:tc>
          <w:tcPr>
            <w:tcW w:w="3560" w:type="dxa"/>
          </w:tcPr>
          <w:p w14:paraId="26F237ED" w14:textId="77777777" w:rsidR="006D4392" w:rsidRPr="00AD0FF4" w:rsidRDefault="00683A75" w:rsidP="00AD0FF4">
            <w:pPr>
              <w:spacing w:after="200" w:line="360" w:lineRule="auto"/>
              <w:jc w:val="both"/>
            </w:pPr>
            <w:r w:rsidRPr="00AD0FF4">
              <w:rPr>
                <w:sz w:val="18"/>
                <w:szCs w:val="18"/>
              </w:rPr>
              <w:t>HC1 SE as secondary check</w:t>
            </w:r>
          </w:p>
        </w:tc>
      </w:tr>
      <w:tr w:rsidR="006D4392" w:rsidRPr="00AD0FF4" w14:paraId="42C0D4BA" w14:textId="77777777">
        <w:tc>
          <w:tcPr>
            <w:tcW w:w="2200" w:type="dxa"/>
            <w:shd w:val="clear" w:color="auto" w:fill="F5F5F5"/>
          </w:tcPr>
          <w:p w14:paraId="15EC084E" w14:textId="77777777" w:rsidR="006D4392" w:rsidRPr="00AD0FF4" w:rsidRDefault="00683A75" w:rsidP="00AD0FF4">
            <w:pPr>
              <w:spacing w:after="200" w:line="360" w:lineRule="auto"/>
              <w:jc w:val="both"/>
            </w:pPr>
            <w:r w:rsidRPr="00AD0FF4">
              <w:rPr>
                <w:sz w:val="18"/>
                <w:szCs w:val="18"/>
              </w:rPr>
              <w:t>R²</w:t>
            </w:r>
          </w:p>
        </w:tc>
        <w:tc>
          <w:tcPr>
            <w:tcW w:w="1800" w:type="dxa"/>
            <w:shd w:val="clear" w:color="auto" w:fill="F5F5F5"/>
          </w:tcPr>
          <w:p w14:paraId="1B0768A9" w14:textId="77777777" w:rsidR="006D4392" w:rsidRPr="00AD0FF4" w:rsidRDefault="00683A75" w:rsidP="00AD0FF4">
            <w:pPr>
              <w:spacing w:after="200" w:line="360" w:lineRule="auto"/>
              <w:jc w:val="both"/>
            </w:pPr>
            <w:r w:rsidRPr="00AD0FF4">
              <w:rPr>
                <w:sz w:val="18"/>
                <w:szCs w:val="18"/>
              </w:rPr>
              <w:t>0.983</w:t>
            </w:r>
          </w:p>
        </w:tc>
        <w:tc>
          <w:tcPr>
            <w:tcW w:w="1800" w:type="dxa"/>
            <w:shd w:val="clear" w:color="auto" w:fill="F5F5F5"/>
          </w:tcPr>
          <w:p w14:paraId="0646EA73" w14:textId="77777777" w:rsidR="006D4392" w:rsidRPr="00AD0FF4" w:rsidRDefault="00683A75" w:rsidP="00AD0FF4">
            <w:pPr>
              <w:spacing w:after="200" w:line="360" w:lineRule="auto"/>
              <w:jc w:val="both"/>
            </w:pPr>
            <w:r w:rsidRPr="00AD0FF4">
              <w:rPr>
                <w:sz w:val="18"/>
                <w:szCs w:val="18"/>
              </w:rPr>
              <w:t>0.980</w:t>
            </w:r>
          </w:p>
        </w:tc>
        <w:tc>
          <w:tcPr>
            <w:tcW w:w="3560" w:type="dxa"/>
            <w:shd w:val="clear" w:color="auto" w:fill="F5F5F5"/>
          </w:tcPr>
          <w:p w14:paraId="699CE317" w14:textId="77777777" w:rsidR="006D4392" w:rsidRPr="00AD0FF4" w:rsidRDefault="00683A75" w:rsidP="00AD0FF4">
            <w:pPr>
              <w:spacing w:after="200" w:line="360" w:lineRule="auto"/>
              <w:jc w:val="both"/>
            </w:pPr>
            <w:r w:rsidRPr="00AD0FF4">
              <w:rPr>
                <w:sz w:val="18"/>
                <w:szCs w:val="18"/>
              </w:rPr>
              <w:t>—</w:t>
            </w:r>
          </w:p>
        </w:tc>
      </w:tr>
      <w:tr w:rsidR="006D4392" w:rsidRPr="00AD0FF4" w14:paraId="32E7D43D" w14:textId="77777777">
        <w:tc>
          <w:tcPr>
            <w:tcW w:w="2200" w:type="dxa"/>
          </w:tcPr>
          <w:p w14:paraId="7AADC892" w14:textId="77777777" w:rsidR="006D4392" w:rsidRPr="00AD0FF4" w:rsidRDefault="00683A75" w:rsidP="00AD0FF4">
            <w:pPr>
              <w:spacing w:after="200" w:line="360" w:lineRule="auto"/>
              <w:jc w:val="both"/>
            </w:pPr>
            <w:r w:rsidRPr="00AD0FF4">
              <w:rPr>
                <w:sz w:val="18"/>
                <w:szCs w:val="18"/>
              </w:rPr>
              <w:t>Adj. R²</w:t>
            </w:r>
          </w:p>
        </w:tc>
        <w:tc>
          <w:tcPr>
            <w:tcW w:w="1800" w:type="dxa"/>
          </w:tcPr>
          <w:p w14:paraId="77F4838B" w14:textId="77777777" w:rsidR="006D4392" w:rsidRPr="00AD0FF4" w:rsidRDefault="00683A75" w:rsidP="00AD0FF4">
            <w:pPr>
              <w:spacing w:after="200" w:line="360" w:lineRule="auto"/>
              <w:jc w:val="both"/>
            </w:pPr>
            <w:r w:rsidRPr="00AD0FF4">
              <w:rPr>
                <w:sz w:val="18"/>
                <w:szCs w:val="18"/>
              </w:rPr>
              <w:t>0.974</w:t>
            </w:r>
          </w:p>
        </w:tc>
        <w:tc>
          <w:tcPr>
            <w:tcW w:w="1800" w:type="dxa"/>
          </w:tcPr>
          <w:p w14:paraId="7A676B19" w14:textId="77777777" w:rsidR="006D4392" w:rsidRPr="00AD0FF4" w:rsidRDefault="00683A75" w:rsidP="00AD0FF4">
            <w:pPr>
              <w:spacing w:after="200" w:line="360" w:lineRule="auto"/>
              <w:jc w:val="both"/>
            </w:pPr>
            <w:r w:rsidRPr="00AD0FF4">
              <w:rPr>
                <w:sz w:val="18"/>
                <w:szCs w:val="18"/>
              </w:rPr>
              <w:t>0.970</w:t>
            </w:r>
          </w:p>
        </w:tc>
        <w:tc>
          <w:tcPr>
            <w:tcW w:w="3560" w:type="dxa"/>
          </w:tcPr>
          <w:p w14:paraId="6C8484CE" w14:textId="77777777" w:rsidR="006D4392" w:rsidRPr="00AD0FF4" w:rsidRDefault="00683A75" w:rsidP="00AD0FF4">
            <w:pPr>
              <w:spacing w:after="200" w:line="360" w:lineRule="auto"/>
              <w:jc w:val="both"/>
            </w:pPr>
            <w:r w:rsidRPr="00AD0FF4">
              <w:rPr>
                <w:sz w:val="18"/>
                <w:szCs w:val="18"/>
              </w:rPr>
              <w:t>—</w:t>
            </w:r>
          </w:p>
        </w:tc>
      </w:tr>
      <w:tr w:rsidR="006D4392" w:rsidRPr="00AD0FF4" w14:paraId="48392B82" w14:textId="77777777">
        <w:tc>
          <w:tcPr>
            <w:tcW w:w="2200" w:type="dxa"/>
            <w:shd w:val="clear" w:color="auto" w:fill="F5F5F5"/>
          </w:tcPr>
          <w:p w14:paraId="02C5F650" w14:textId="77777777" w:rsidR="006D4392" w:rsidRPr="00AD0FF4" w:rsidRDefault="00683A75" w:rsidP="00AD0FF4">
            <w:pPr>
              <w:spacing w:after="200" w:line="360" w:lineRule="auto"/>
              <w:jc w:val="both"/>
            </w:pPr>
            <w:r w:rsidRPr="00AD0FF4">
              <w:rPr>
                <w:sz w:val="18"/>
                <w:szCs w:val="18"/>
              </w:rPr>
              <w:t>N</w:t>
            </w:r>
          </w:p>
        </w:tc>
        <w:tc>
          <w:tcPr>
            <w:tcW w:w="1800" w:type="dxa"/>
            <w:shd w:val="clear" w:color="auto" w:fill="F5F5F5"/>
          </w:tcPr>
          <w:p w14:paraId="7F871FD8" w14:textId="77777777" w:rsidR="006D4392" w:rsidRPr="00AD0FF4" w:rsidRDefault="00683A75" w:rsidP="00AD0FF4">
            <w:pPr>
              <w:spacing w:after="200" w:line="360" w:lineRule="auto"/>
              <w:jc w:val="both"/>
            </w:pPr>
            <w:r w:rsidRPr="00AD0FF4">
              <w:rPr>
                <w:sz w:val="18"/>
                <w:szCs w:val="18"/>
              </w:rPr>
              <w:t>34</w:t>
            </w:r>
          </w:p>
        </w:tc>
        <w:tc>
          <w:tcPr>
            <w:tcW w:w="1800" w:type="dxa"/>
            <w:shd w:val="clear" w:color="auto" w:fill="F5F5F5"/>
          </w:tcPr>
          <w:p w14:paraId="7DDD97EE" w14:textId="77777777" w:rsidR="006D4392" w:rsidRPr="00AD0FF4" w:rsidRDefault="00683A75" w:rsidP="00AD0FF4">
            <w:pPr>
              <w:spacing w:after="200" w:line="360" w:lineRule="auto"/>
              <w:jc w:val="both"/>
            </w:pPr>
            <w:r w:rsidRPr="00AD0FF4">
              <w:rPr>
                <w:sz w:val="18"/>
                <w:szCs w:val="18"/>
              </w:rPr>
              <w:t>34</w:t>
            </w:r>
          </w:p>
        </w:tc>
        <w:tc>
          <w:tcPr>
            <w:tcW w:w="3560" w:type="dxa"/>
            <w:shd w:val="clear" w:color="auto" w:fill="F5F5F5"/>
          </w:tcPr>
          <w:p w14:paraId="391A7CF9" w14:textId="77777777" w:rsidR="006D4392" w:rsidRPr="00AD0FF4" w:rsidRDefault="00683A75" w:rsidP="00AD0FF4">
            <w:pPr>
              <w:spacing w:after="200" w:line="360" w:lineRule="auto"/>
              <w:jc w:val="both"/>
            </w:pPr>
            <w:r w:rsidRPr="00AD0FF4">
              <w:rPr>
                <w:sz w:val="18"/>
                <w:szCs w:val="18"/>
              </w:rPr>
              <w:t>1988–2021</w:t>
            </w:r>
          </w:p>
        </w:tc>
      </w:tr>
    </w:tbl>
    <w:p w14:paraId="5446E5E7" w14:textId="77777777" w:rsidR="006D4392" w:rsidRPr="00AD0FF4" w:rsidRDefault="006D4392" w:rsidP="00AD0FF4">
      <w:pPr>
        <w:spacing w:after="200" w:line="360" w:lineRule="auto"/>
        <w:jc w:val="both"/>
      </w:pPr>
    </w:p>
    <w:p w14:paraId="3EEEBA4A" w14:textId="77777777" w:rsidR="006D4392" w:rsidRPr="00AD0FF4" w:rsidRDefault="00683A75" w:rsidP="00AD0FF4">
      <w:pPr>
        <w:spacing w:after="200" w:line="360" w:lineRule="auto"/>
        <w:jc w:val="both"/>
      </w:pPr>
      <w:r w:rsidRPr="00AD0FF4">
        <w:rPr>
          <w:i/>
          <w:iCs/>
          <w:sz w:val="20"/>
          <w:szCs w:val="20"/>
        </w:rPr>
        <w:t>Conclusion: Serial correlation is present in both equations (DW &lt; 1.5), justifying HAC standard errors as the primary inference framework. Homoskedasticity is confirmed by the White test, so HC1 robust SE serve as a secondary robustness check. Both structural breaks are statistically confirmed by Chow tests. ADF results support OLS estimation in levels for the three main variables.</w:t>
      </w:r>
    </w:p>
    <w:p w14:paraId="676D8DE2" w14:textId="77777777" w:rsidR="006D4392" w:rsidRPr="00AD0FF4" w:rsidRDefault="006D4392" w:rsidP="00AD0FF4">
      <w:pPr>
        <w:spacing w:after="200" w:line="360" w:lineRule="auto"/>
        <w:jc w:val="both"/>
      </w:pPr>
    </w:p>
    <w:p w14:paraId="70E9119B" w14:textId="77777777" w:rsidR="006D4392" w:rsidRPr="00AD0FF4" w:rsidRDefault="00683A75" w:rsidP="00AD0FF4">
      <w:pPr>
        <w:pStyle w:val="1"/>
        <w:spacing w:before="400" w:after="200" w:line="360" w:lineRule="auto"/>
        <w:jc w:val="both"/>
      </w:pPr>
      <w:r w:rsidRPr="00AD0FF4">
        <w:rPr>
          <w:rFonts w:eastAsia="Times New Roman"/>
          <w:b/>
          <w:bCs/>
          <w:sz w:val="28"/>
          <w:szCs w:val="28"/>
        </w:rPr>
        <w:lastRenderedPageBreak/>
        <w:t>References</w:t>
      </w:r>
    </w:p>
    <w:p w14:paraId="385566D6" w14:textId="77777777" w:rsidR="006D4392" w:rsidRPr="00AD0FF4" w:rsidRDefault="00683A75" w:rsidP="00AD0FF4">
      <w:pPr>
        <w:spacing w:after="200" w:line="360" w:lineRule="auto"/>
        <w:ind w:left="720" w:hanging="720"/>
        <w:jc w:val="both"/>
      </w:pPr>
      <w:r w:rsidRPr="00AD0FF4">
        <w:t>Alchian, A.A. and Demsetz, H. (1972). Production, Information Costs and Economic Organization. American Economic Review, 62(6), 777–795.</w:t>
      </w:r>
    </w:p>
    <w:p w14:paraId="3F56FF93" w14:textId="77777777" w:rsidR="006D4392" w:rsidRPr="00AD0FF4" w:rsidRDefault="00683A75" w:rsidP="00AD0FF4">
      <w:pPr>
        <w:spacing w:after="200" w:line="360" w:lineRule="auto"/>
        <w:ind w:left="720" w:hanging="720"/>
        <w:jc w:val="both"/>
      </w:pPr>
      <w:r w:rsidRPr="00AD0FF4">
        <w:t>Caballero, R.J., Hoshi, T. and Kashyap, A.K. (2008). Zombie Lending and Depressed Restructuring in Japan. American Economic Review, 98(5), 1943–1977.</w:t>
      </w:r>
    </w:p>
    <w:p w14:paraId="07979075" w14:textId="77777777" w:rsidR="006D4392" w:rsidRPr="00AD0FF4" w:rsidRDefault="00683A75" w:rsidP="00AD0FF4">
      <w:pPr>
        <w:spacing w:after="200" w:line="360" w:lineRule="auto"/>
        <w:ind w:left="720" w:hanging="720"/>
        <w:jc w:val="both"/>
      </w:pPr>
      <w:r w:rsidRPr="00AD0FF4">
        <w:t>Chandler, A.D. (1977). The Visible Hand: The Managerial Revolution in American Business. Harvard University Press.</w:t>
      </w:r>
    </w:p>
    <w:p w14:paraId="5C8D9B1D" w14:textId="77777777" w:rsidR="006D4392" w:rsidRPr="00AD0FF4" w:rsidRDefault="00683A75" w:rsidP="00AD0FF4">
      <w:pPr>
        <w:spacing w:after="200" w:line="360" w:lineRule="auto"/>
        <w:ind w:left="720" w:hanging="720"/>
        <w:jc w:val="both"/>
      </w:pPr>
      <w:r w:rsidRPr="00AD0FF4">
        <w:t>Fisher, I. (1906). The Nature of Capital and Income. Macmillan.</w:t>
      </w:r>
    </w:p>
    <w:p w14:paraId="3F8493BB" w14:textId="77777777" w:rsidR="006D4392" w:rsidRPr="00AD0FF4" w:rsidRDefault="00683A75" w:rsidP="00AD0FF4">
      <w:pPr>
        <w:spacing w:after="200" w:line="360" w:lineRule="auto"/>
        <w:ind w:left="720" w:hanging="720"/>
        <w:jc w:val="both"/>
      </w:pPr>
      <w:r w:rsidRPr="00AD0FF4">
        <w:t>Harcourt, G.C. (1969). Some Cambridge Controversies in the Theory of Capital. Journal of Economic Literature, 7(2), 369–405.</w:t>
      </w:r>
    </w:p>
    <w:p w14:paraId="5C2451DC" w14:textId="77777777" w:rsidR="006D4392" w:rsidRPr="00AD0FF4" w:rsidRDefault="00683A75" w:rsidP="00AD0FF4">
      <w:pPr>
        <w:spacing w:after="200" w:line="360" w:lineRule="auto"/>
        <w:ind w:left="720" w:hanging="720"/>
        <w:jc w:val="both"/>
      </w:pPr>
      <w:r w:rsidRPr="00AD0FF4">
        <w:t>Hayashi, F. and Prescott, E.C. (2002). The 1990s in Japan: A Lost Decade. Review of Economic Dynamics, 5(1), 206–235.</w:t>
      </w:r>
    </w:p>
    <w:p w14:paraId="78655875" w14:textId="77777777" w:rsidR="006D4392" w:rsidRPr="00AD0FF4" w:rsidRDefault="00683A75" w:rsidP="00AD0FF4">
      <w:pPr>
        <w:spacing w:after="200" w:line="360" w:lineRule="auto"/>
        <w:ind w:left="720" w:hanging="720"/>
        <w:jc w:val="both"/>
      </w:pPr>
      <w:r w:rsidRPr="00AD0FF4">
        <w:t>Hoshi, T. and Kashyap, A.K. (2004). Japan's Financial Crisis and Economic Stagnation. Journal of Economic Perspectives, 18(1), 3–26.</w:t>
      </w:r>
    </w:p>
    <w:p w14:paraId="62FF8427" w14:textId="77777777" w:rsidR="006D4392" w:rsidRPr="00AD0FF4" w:rsidRDefault="00683A75" w:rsidP="00AD0FF4">
      <w:pPr>
        <w:spacing w:after="200" w:line="360" w:lineRule="auto"/>
        <w:ind w:left="720" w:hanging="720"/>
        <w:jc w:val="both"/>
      </w:pPr>
      <w:r w:rsidRPr="00AD0FF4">
        <w:t>Japan Real Estate Institute (2024). Urban Land Price Index. Tokyo: Japan Real Estate Institute. Available at: https://www.reinet.or.jp/</w:t>
      </w:r>
    </w:p>
    <w:p w14:paraId="7F7DAB8C" w14:textId="77777777" w:rsidR="006D4392" w:rsidRPr="00AD0FF4" w:rsidRDefault="00683A75" w:rsidP="00AD0FF4">
      <w:pPr>
        <w:spacing w:after="200" w:line="360" w:lineRule="auto"/>
        <w:ind w:left="720" w:hanging="720"/>
        <w:jc w:val="both"/>
      </w:pPr>
      <w:r w:rsidRPr="00AD0FF4">
        <w:t>Johnson, C. (1982). MITI and the Japanese Miracle: The Growth of Industrial Policy, 1925–1975. Stanford University Press.</w:t>
      </w:r>
    </w:p>
    <w:p w14:paraId="132B22D5" w14:textId="77777777" w:rsidR="006D4392" w:rsidRPr="00AD0FF4" w:rsidRDefault="00683A75" w:rsidP="00AD0FF4">
      <w:pPr>
        <w:spacing w:after="200" w:line="360" w:lineRule="auto"/>
        <w:ind w:left="720" w:hanging="720"/>
        <w:jc w:val="both"/>
      </w:pPr>
      <w:r w:rsidRPr="00AD0FF4">
        <w:t>Jwa, Sung-Hee. (2017). A General Theory of Economic Development: Towards a Capitalist Manifesto. Edward Elgar.</w:t>
      </w:r>
    </w:p>
    <w:p w14:paraId="78E3FA5A" w14:textId="77777777" w:rsidR="006D4392" w:rsidRPr="00AD0FF4" w:rsidRDefault="00683A75" w:rsidP="00AD0FF4">
      <w:pPr>
        <w:spacing w:after="200" w:line="360" w:lineRule="auto"/>
        <w:ind w:left="720" w:hanging="720"/>
        <w:jc w:val="both"/>
      </w:pPr>
      <w:r w:rsidRPr="00AD0FF4">
        <w:t>Jwa, Sung-Hee. (2024). What Causes Polarized Stagnation: Corporate Economy or Welfare State? Economics &amp; Politics. [Top Viewed Article 2025]</w:t>
      </w:r>
    </w:p>
    <w:p w14:paraId="5D0838A4" w14:textId="77777777" w:rsidR="006D4392" w:rsidRPr="00AD0FF4" w:rsidRDefault="00683A75" w:rsidP="00AD0FF4">
      <w:pPr>
        <w:spacing w:after="200" w:line="360" w:lineRule="auto"/>
        <w:ind w:left="720" w:hanging="720"/>
        <w:jc w:val="both"/>
      </w:pPr>
      <w:r w:rsidRPr="00AD0FF4">
        <w:t>Jwa, Sung-Hee. (2025). The Three Koreas’ Institutional Experiment in Economic Development and Lessons for the World: Economic Differentiation versus Egalitarianism? World Development. Under review.</w:t>
      </w:r>
    </w:p>
    <w:p w14:paraId="1F71E5CA" w14:textId="77777777" w:rsidR="006D4392" w:rsidRPr="00AD0FF4" w:rsidRDefault="00683A75" w:rsidP="00AD0FF4">
      <w:pPr>
        <w:spacing w:after="200" w:line="360" w:lineRule="auto"/>
        <w:ind w:left="720" w:hanging="720"/>
        <w:jc w:val="both"/>
      </w:pPr>
      <w:r w:rsidRPr="00AD0FF4">
        <w:lastRenderedPageBreak/>
        <w:t>Jwa, Sung-Hee. (2026a). American Growth and Distribution: A Corporate Economy Perspective. Under review, Journal of Economic Behavior &amp; Organization.</w:t>
      </w:r>
    </w:p>
    <w:p w14:paraId="6F8933AC" w14:textId="77777777" w:rsidR="006D4392" w:rsidRPr="00AD0FF4" w:rsidRDefault="00683A75" w:rsidP="00AD0FF4">
      <w:pPr>
        <w:spacing w:after="200" w:line="360" w:lineRule="auto"/>
        <w:ind w:left="720" w:hanging="720"/>
        <w:jc w:val="both"/>
      </w:pPr>
      <w:r w:rsidRPr="00AD0FF4">
        <w:t>Jwa, Sung-Hee. (2026b). Chinese Growth and Distribution: A Corporate Economy Perspective from Chinese Classical Thought. Under review, Structural Change and Economic Dynamics.</w:t>
      </w:r>
    </w:p>
    <w:p w14:paraId="7D903DA6" w14:textId="77777777" w:rsidR="006D4392" w:rsidRPr="00AD0FF4" w:rsidRDefault="00683A75" w:rsidP="00AD0FF4">
      <w:pPr>
        <w:spacing w:after="200" w:line="360" w:lineRule="auto"/>
        <w:ind w:left="720" w:hanging="720"/>
        <w:jc w:val="both"/>
      </w:pPr>
      <w:r w:rsidRPr="00AD0FF4">
        <w:t>Jwa, Sung-Hee. (2026c). Corporate Assets and the Cambridge Capital Controversies: A Bridge between Production Theory and Asset Pricing. Under review, Cambridge Journal of Economics.</w:t>
      </w:r>
    </w:p>
    <w:p w14:paraId="219A065D" w14:textId="77777777" w:rsidR="006D4392" w:rsidRPr="00AD0FF4" w:rsidRDefault="00683A75" w:rsidP="00AD0FF4">
      <w:pPr>
        <w:spacing w:after="200" w:line="360" w:lineRule="auto"/>
        <w:ind w:left="720" w:hanging="720"/>
        <w:jc w:val="both"/>
      </w:pPr>
      <w:r w:rsidRPr="00AD0FF4">
        <w:t>Krugman, P. (1998). It's Baaack: Japan's Slump and the Return of the Liquidity Trap. Brookings Papers on Economic Activity, 2, 137–205.</w:t>
      </w:r>
    </w:p>
    <w:p w14:paraId="2CF2D768" w14:textId="77777777" w:rsidR="006D4392" w:rsidRPr="00AD0FF4" w:rsidRDefault="00683A75" w:rsidP="00AD0FF4">
      <w:pPr>
        <w:spacing w:after="200" w:line="360" w:lineRule="auto"/>
        <w:ind w:left="720" w:hanging="720"/>
        <w:jc w:val="both"/>
      </w:pPr>
      <w:r w:rsidRPr="00AD0FF4">
        <w:t>Morishima, M. (1982). Why Has Japan Succeeded? Western Technology and the Japanese Ethos. Cambridge University Press.</w:t>
      </w:r>
    </w:p>
    <w:p w14:paraId="7B3E7E67" w14:textId="77777777" w:rsidR="006D4392" w:rsidRPr="00AD0FF4" w:rsidRDefault="00683A75" w:rsidP="00AD0FF4">
      <w:pPr>
        <w:spacing w:after="200" w:line="360" w:lineRule="auto"/>
        <w:ind w:left="720" w:hanging="720"/>
        <w:jc w:val="both"/>
      </w:pPr>
      <w:r w:rsidRPr="00AD0FF4">
        <w:t>OECD (2024). Social Expenditure Database (SOCX). Paris: OECD Publishing. Available at: https://www.oecd.org/social/expenditure.htm</w:t>
      </w:r>
    </w:p>
    <w:p w14:paraId="27843C84" w14:textId="77777777" w:rsidR="006D4392" w:rsidRPr="00AD0FF4" w:rsidRDefault="00683A75" w:rsidP="00AD0FF4">
      <w:pPr>
        <w:spacing w:after="200" w:line="360" w:lineRule="auto"/>
        <w:ind w:left="720" w:hanging="720"/>
        <w:jc w:val="both"/>
      </w:pPr>
      <w:r w:rsidRPr="00AD0FF4">
        <w:t>Robinson, J. (1953). The Production Function and the Theory of Capital. Review of Economic Studies, 21(2), 81–106.</w:t>
      </w:r>
    </w:p>
    <w:p w14:paraId="17125A9D" w14:textId="77777777" w:rsidR="006D4392" w:rsidRPr="00AD0FF4" w:rsidRDefault="00683A75" w:rsidP="00AD0FF4">
      <w:pPr>
        <w:spacing w:after="200" w:line="360" w:lineRule="auto"/>
        <w:ind w:left="720" w:hanging="720"/>
        <w:jc w:val="both"/>
      </w:pPr>
      <w:r w:rsidRPr="00AD0FF4">
        <w:t>Simon, H.A. (1991). Organizations and Markets. Journal of Economic Perspectives, 5(2), 25–44.</w:t>
      </w:r>
    </w:p>
    <w:p w14:paraId="362AF787" w14:textId="77777777" w:rsidR="006D4392" w:rsidRPr="00AD0FF4" w:rsidRDefault="00683A75" w:rsidP="00AD0FF4">
      <w:pPr>
        <w:spacing w:after="200" w:line="360" w:lineRule="auto"/>
        <w:ind w:left="720" w:hanging="720"/>
        <w:jc w:val="both"/>
      </w:pPr>
      <w:r w:rsidRPr="00AD0FF4">
        <w:t>Solt, F. (2024). Measuring Income Inequality Across Countries and Over Time: The Standardized World Income Inequality Database. Social Science Quarterly, 101(3), 1183–1199.</w:t>
      </w:r>
    </w:p>
    <w:p w14:paraId="2966BC41" w14:textId="77777777" w:rsidR="006D4392" w:rsidRPr="00AD0FF4" w:rsidRDefault="00683A75" w:rsidP="00AD0FF4">
      <w:pPr>
        <w:spacing w:after="200" w:line="360" w:lineRule="auto"/>
        <w:ind w:left="720" w:hanging="720"/>
        <w:jc w:val="both"/>
      </w:pPr>
      <w:r w:rsidRPr="00AD0FF4">
        <w:t>Sraffa, P. (1960). Production of Commodities by Means of Commodities. Cambridge University Press.</w:t>
      </w:r>
    </w:p>
    <w:p w14:paraId="6550C4A8" w14:textId="77777777" w:rsidR="006D4392" w:rsidRPr="00AD0FF4" w:rsidRDefault="00683A75" w:rsidP="00AD0FF4">
      <w:pPr>
        <w:spacing w:after="200" w:line="360" w:lineRule="auto"/>
        <w:ind w:left="720" w:hanging="720"/>
        <w:jc w:val="both"/>
      </w:pPr>
      <w:r w:rsidRPr="00AD0FF4">
        <w:t xml:space="preserve">Tanaka, K. (1972). </w:t>
      </w:r>
      <w:r w:rsidRPr="00AD0FF4">
        <w:t>日本列島改造論</w:t>
      </w:r>
      <w:r w:rsidRPr="00AD0FF4">
        <w:t xml:space="preserve"> [Remodelling the Japanese Archipelago]. Tokyo: Nikkan Kogyo Shimbun.</w:t>
      </w:r>
    </w:p>
    <w:p w14:paraId="66953FF7" w14:textId="77777777" w:rsidR="006D4392" w:rsidRPr="00AD0FF4" w:rsidRDefault="006D4392" w:rsidP="00AD0FF4">
      <w:pPr>
        <w:spacing w:after="200" w:line="360" w:lineRule="auto"/>
        <w:jc w:val="both"/>
      </w:pPr>
    </w:p>
    <w:sectPr w:rsidR="006D4392" w:rsidRPr="00AD0FF4">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A3879D" w14:textId="77777777" w:rsidR="004E3104" w:rsidRDefault="004E3104" w:rsidP="00AD0FF4">
      <w:r>
        <w:separator/>
      </w:r>
    </w:p>
  </w:endnote>
  <w:endnote w:type="continuationSeparator" w:id="0">
    <w:p w14:paraId="1338F992" w14:textId="77777777" w:rsidR="004E3104" w:rsidRDefault="004E3104" w:rsidP="00AD0F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Cambria Math">
    <w:panose1 w:val="02040503050406030204"/>
    <w:charset w:val="00"/>
    <w:family w:val="roman"/>
    <w:pitch w:val="variable"/>
    <w:sig w:usb0="E00006FF" w:usb1="420024FF" w:usb2="02000000" w:usb3="00000000" w:csb0="0000019F" w:csb1="00000000"/>
  </w:font>
  <w:font w:name="Noto Sans KR">
    <w:panose1 w:val="020B0200000000000000"/>
    <w:charset w:val="81"/>
    <w:family w:val="modern"/>
    <w:pitch w:val="variable"/>
    <w:sig w:usb0="30000287" w:usb1="2BDF3C10" w:usb2="00000016" w:usb3="00000000" w:csb0="002E0107" w:csb1="00000000"/>
  </w:font>
  <w:font w:name="MS Mincho">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E628C3" w14:textId="77777777" w:rsidR="004E3104" w:rsidRDefault="004E3104" w:rsidP="00AD0FF4">
      <w:r>
        <w:separator/>
      </w:r>
    </w:p>
  </w:footnote>
  <w:footnote w:type="continuationSeparator" w:id="0">
    <w:p w14:paraId="612B5B7B" w14:textId="77777777" w:rsidR="004E3104" w:rsidRDefault="004E3104" w:rsidP="00AD0F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4E6E62"/>
    <w:multiLevelType w:val="hybridMultilevel"/>
    <w:tmpl w:val="0EAE9AEC"/>
    <w:lvl w:ilvl="0" w:tplc="DEE467FE">
      <w:start w:val="1"/>
      <w:numFmt w:val="bullet"/>
      <w:lvlText w:val="●"/>
      <w:lvlJc w:val="left"/>
      <w:pPr>
        <w:ind w:left="720" w:hanging="360"/>
      </w:pPr>
    </w:lvl>
    <w:lvl w:ilvl="1" w:tplc="D2A6A184">
      <w:start w:val="1"/>
      <w:numFmt w:val="bullet"/>
      <w:lvlText w:val="○"/>
      <w:lvlJc w:val="left"/>
      <w:pPr>
        <w:ind w:left="1440" w:hanging="360"/>
      </w:pPr>
    </w:lvl>
    <w:lvl w:ilvl="2" w:tplc="E53A9716">
      <w:start w:val="1"/>
      <w:numFmt w:val="bullet"/>
      <w:lvlText w:val="■"/>
      <w:lvlJc w:val="left"/>
      <w:pPr>
        <w:ind w:left="2160" w:hanging="360"/>
      </w:pPr>
    </w:lvl>
    <w:lvl w:ilvl="3" w:tplc="CEBEC93C">
      <w:start w:val="1"/>
      <w:numFmt w:val="bullet"/>
      <w:lvlText w:val="●"/>
      <w:lvlJc w:val="left"/>
      <w:pPr>
        <w:ind w:left="2880" w:hanging="360"/>
      </w:pPr>
    </w:lvl>
    <w:lvl w:ilvl="4" w:tplc="AE069578">
      <w:start w:val="1"/>
      <w:numFmt w:val="bullet"/>
      <w:lvlText w:val="○"/>
      <w:lvlJc w:val="left"/>
      <w:pPr>
        <w:ind w:left="3600" w:hanging="360"/>
      </w:pPr>
    </w:lvl>
    <w:lvl w:ilvl="5" w:tplc="B106A71E">
      <w:start w:val="1"/>
      <w:numFmt w:val="bullet"/>
      <w:lvlText w:val="■"/>
      <w:lvlJc w:val="left"/>
      <w:pPr>
        <w:ind w:left="4320" w:hanging="360"/>
      </w:pPr>
    </w:lvl>
    <w:lvl w:ilvl="6" w:tplc="D73CB2D4">
      <w:start w:val="1"/>
      <w:numFmt w:val="bullet"/>
      <w:lvlText w:val="●"/>
      <w:lvlJc w:val="left"/>
      <w:pPr>
        <w:ind w:left="5040" w:hanging="360"/>
      </w:pPr>
    </w:lvl>
    <w:lvl w:ilvl="7" w:tplc="EFDC5570">
      <w:start w:val="1"/>
      <w:numFmt w:val="bullet"/>
      <w:lvlText w:val="●"/>
      <w:lvlJc w:val="left"/>
      <w:pPr>
        <w:ind w:left="5760" w:hanging="360"/>
      </w:pPr>
    </w:lvl>
    <w:lvl w:ilvl="8" w:tplc="0F1AA526">
      <w:start w:val="1"/>
      <w:numFmt w:val="bullet"/>
      <w:lvlText w:val="●"/>
      <w:lvlJc w:val="left"/>
      <w:pPr>
        <w:ind w:left="6480" w:hanging="360"/>
      </w:pPr>
    </w:lvl>
  </w:abstractNum>
  <w:num w:numId="1" w16cid:durableId="176418604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clean"/>
  <w:defaultTabStop w:val="80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392"/>
    <w:rsid w:val="00030DCB"/>
    <w:rsid w:val="00095337"/>
    <w:rsid w:val="000A4796"/>
    <w:rsid w:val="00215A67"/>
    <w:rsid w:val="004E3104"/>
    <w:rsid w:val="004E5077"/>
    <w:rsid w:val="00683A75"/>
    <w:rsid w:val="006D4392"/>
    <w:rsid w:val="007A0264"/>
    <w:rsid w:val="009C74D2"/>
    <w:rsid w:val="00AD0FF4"/>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990286"/>
  <w15:docId w15:val="{8AB69247-16D5-4310-B5FF-8BA3F18F9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sz w:val="24"/>
        <w:szCs w:val="24"/>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pPr>
  </w:style>
  <w:style w:type="paragraph" w:styleId="1">
    <w:name w:val="heading 1"/>
    <w:uiPriority w:val="9"/>
    <w:qFormat/>
    <w:pPr>
      <w:outlineLvl w:val="0"/>
    </w:pPr>
    <w:rPr>
      <w:color w:val="2E74B5"/>
      <w:sz w:val="32"/>
      <w:szCs w:val="32"/>
    </w:rPr>
  </w:style>
  <w:style w:type="paragraph" w:styleId="2">
    <w:name w:val="heading 2"/>
    <w:uiPriority w:val="9"/>
    <w:unhideWhenUsed/>
    <w:qFormat/>
    <w:pPr>
      <w:outlineLvl w:val="1"/>
    </w:pPr>
    <w:rPr>
      <w:color w:val="2E74B5"/>
      <w:sz w:val="26"/>
      <w:szCs w:val="26"/>
    </w:rPr>
  </w:style>
  <w:style w:type="paragraph" w:styleId="3">
    <w:name w:val="heading 3"/>
    <w:uiPriority w:val="9"/>
    <w:semiHidden/>
    <w:unhideWhenUsed/>
    <w:qFormat/>
    <w:pPr>
      <w:outlineLvl w:val="2"/>
    </w:pPr>
    <w:rPr>
      <w:color w:val="1F4D78"/>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굵은 텍스트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Char"/>
    <w:uiPriority w:val="99"/>
    <w:semiHidden/>
    <w:unhideWhenUsed/>
    <w:rPr>
      <w:sz w:val="20"/>
      <w:szCs w:val="20"/>
    </w:rPr>
  </w:style>
  <w:style w:type="character" w:customStyle="1" w:styleId="Char">
    <w:name w:val="각주 텍스트 Char"/>
    <w:link w:val="a7"/>
    <w:uiPriority w:val="99"/>
    <w:semiHidden/>
    <w:unhideWhenUsed/>
    <w:rPr>
      <w:sz w:val="20"/>
      <w:szCs w:val="20"/>
    </w:rPr>
  </w:style>
  <w:style w:type="character" w:styleId="a8">
    <w:name w:val="endnote reference"/>
    <w:uiPriority w:val="99"/>
    <w:semiHidden/>
    <w:unhideWhenUsed/>
    <w:rPr>
      <w:vertAlign w:val="superscript"/>
    </w:rPr>
  </w:style>
  <w:style w:type="paragraph" w:styleId="a9">
    <w:name w:val="endnote text"/>
    <w:link w:val="Char0"/>
    <w:uiPriority w:val="99"/>
    <w:semiHidden/>
    <w:unhideWhenUsed/>
    <w:rPr>
      <w:sz w:val="20"/>
      <w:szCs w:val="20"/>
    </w:rPr>
  </w:style>
  <w:style w:type="character" w:customStyle="1" w:styleId="Char0">
    <w:name w:val="미주 텍스트 Char"/>
    <w:link w:val="a9"/>
    <w:uiPriority w:val="99"/>
    <w:semiHidden/>
    <w:unhideWhenUsed/>
    <w:rPr>
      <w:sz w:val="20"/>
      <w:szCs w:val="20"/>
    </w:rPr>
  </w:style>
  <w:style w:type="paragraph" w:styleId="aa">
    <w:name w:val="header"/>
    <w:basedOn w:val="a"/>
    <w:link w:val="Char1"/>
    <w:uiPriority w:val="99"/>
    <w:unhideWhenUsed/>
    <w:rsid w:val="00AD0FF4"/>
    <w:pPr>
      <w:tabs>
        <w:tab w:val="center" w:pos="4513"/>
        <w:tab w:val="right" w:pos="9026"/>
      </w:tabs>
      <w:snapToGrid w:val="0"/>
    </w:pPr>
  </w:style>
  <w:style w:type="character" w:customStyle="1" w:styleId="Char1">
    <w:name w:val="머리글 Char"/>
    <w:basedOn w:val="a0"/>
    <w:link w:val="aa"/>
    <w:uiPriority w:val="99"/>
    <w:rsid w:val="00AD0FF4"/>
  </w:style>
  <w:style w:type="paragraph" w:styleId="ab">
    <w:name w:val="footer"/>
    <w:basedOn w:val="a"/>
    <w:link w:val="Char2"/>
    <w:uiPriority w:val="99"/>
    <w:unhideWhenUsed/>
    <w:rsid w:val="00AD0FF4"/>
    <w:pPr>
      <w:tabs>
        <w:tab w:val="center" w:pos="4513"/>
        <w:tab w:val="right" w:pos="9026"/>
      </w:tabs>
      <w:snapToGrid w:val="0"/>
    </w:pPr>
  </w:style>
  <w:style w:type="character" w:customStyle="1" w:styleId="Char2">
    <w:name w:val="바닥글 Char"/>
    <w:basedOn w:val="a0"/>
    <w:link w:val="ab"/>
    <w:uiPriority w:val="99"/>
    <w:rsid w:val="00AD0F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맑은 고딕"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33</Pages>
  <Words>9954</Words>
  <Characters>56743</Characters>
  <Application>Microsoft Office Word</Application>
  <DocSecurity>4</DocSecurity>
  <Lines>472</Lines>
  <Paragraphs>133</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66564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좌 승희</cp:lastModifiedBy>
  <cp:revision>2</cp:revision>
  <dcterms:created xsi:type="dcterms:W3CDTF">2026-07-01T10:44:00Z</dcterms:created>
  <dcterms:modified xsi:type="dcterms:W3CDTF">2026-07-01T10:44:00Z</dcterms:modified>
</cp:coreProperties>
</file>